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600"/>
      </w:pPr>
    </w:p>
    <w:p>
      <w:pPr>
        <w:spacing w:after="200"/>
        <w:jc w:val="center"/>
      </w:pPr>
      <w:r>
        <w:rPr>
          <w:rFonts w:ascii="Microsoft YaHei" w:cs="Microsoft YaHei" w:eastAsia="Microsoft YaHei" w:hAnsi="Microsoft YaHei"/>
          <w:b/>
          <w:bCs/>
          <w:color w:val="000000"/>
          <w:sz w:val="56"/>
          <w:szCs w:val="56"/>
        </w:rPr>
        <w:t xml:space="preserve">混合人機智能</w:t>
      </w:r>
    </w:p>
    <w:p>
      <w:pPr>
        <w:spacing w:after="80"/>
        <w:jc w:val="center"/>
      </w:pPr>
      <w:r>
        <w:rPr>
          <w:rFonts w:ascii="Microsoft YaHei" w:cs="Microsoft YaHei" w:eastAsia="Microsoft YaHei" w:hAnsi="Microsoft YaHei"/>
          <w:b/>
          <w:bCs/>
          <w:color w:val="8B0000"/>
          <w:sz w:val="40"/>
          <w:szCs w:val="40"/>
        </w:rPr>
        <w:t xml:space="preserve">AI重塞專業服務的管理革命</w:t>
      </w:r>
    </w:p>
    <w:p>
      <w:pPr>
        <w:spacing w:after="200" w:before="300"/>
        <w:jc w:val="center"/>
      </w:pPr>
      <w:r>
        <w:rPr>
          <w:rFonts w:ascii="Arial" w:cs="Arial" w:eastAsia="Arial" w:hAnsi="Arial"/>
          <w:i/>
          <w:iCs/>
          <w:color w:val="444444"/>
          <w:sz w:val="32"/>
          <w:szCs w:val="32"/>
        </w:rPr>
        <w:t xml:space="preserve">Hybrid Human Agentic Intelligence:</w:t>
      </w:r>
    </w:p>
    <w:p>
      <w:pPr>
        <w:spacing w:after="600"/>
        <w:jc w:val="center"/>
      </w:pPr>
      <w:r>
        <w:rPr>
          <w:rFonts w:ascii="Arial" w:cs="Arial" w:eastAsia="Arial" w:hAnsi="Arial"/>
          <w:i/>
          <w:iCs/>
          <w:color w:val="444444"/>
          <w:sz w:val="26"/>
          <w:szCs w:val="26"/>
        </w:rPr>
        <w:t xml:space="preserve">Transforming Professional Services Through Managerial Innovation</w:t>
      </w:r>
    </w:p>
    <w:p>
      <w:pPr>
        <w:spacing w:after="0" w:before="1200"/>
      </w:pPr>
    </w:p>
    <w:p>
      <w:pPr>
        <w:pBdr>
          <w:bottom w:val="single" w:color="8B0000" w:sz="3" w:space="10"/>
        </w:pBdr>
        <w:spacing w:after="400"/>
        <w:jc w:val="center"/>
      </w:pPr>
    </w:p>
    <w:p>
      <w:pPr>
        <w:spacing w:after="100" w:before="400"/>
        <w:jc w:val="center"/>
      </w:pPr>
      <w:r>
        <w:rPr>
          <w:rFonts w:ascii="Microsoft YaHei" w:cs="Microsoft YaHei" w:eastAsia="Microsoft YaHei" w:hAnsi="Microsoft YaHei"/>
          <w:color w:val="000000"/>
          <w:sz w:val="28"/>
          <w:szCs w:val="28"/>
        </w:rPr>
        <w:t xml:space="preserve">大熊貓集團 HHAI Program</w:t>
      </w:r>
    </w:p>
    <w:p>
      <w:pPr>
        <w:spacing w:after="100"/>
        <w:jc w:val="center"/>
      </w:pPr>
      <w:r>
        <w:rPr>
          <w:rFonts w:ascii="Arial" w:cs="Arial" w:eastAsia="Arial" w:hAnsi="Arial"/>
          <w:i/>
          <w:iCs/>
          <w:color w:val="444444"/>
          <w:sz w:val="22"/>
          <w:szCs w:val="22"/>
        </w:rPr>
        <w:t xml:space="preserve">Panda Group HHAI Program</w:t>
      </w:r>
    </w:p>
    <w:p>
      <w:pPr>
        <w:spacing w:after="0" w:before="400"/>
      </w:pPr>
    </w:p>
    <w:p>
      <w:pPr>
        <w:spacing w:after="60"/>
        <w:jc w:val="center"/>
      </w:pPr>
      <w:r>
        <w:rPr>
          <w:rFonts w:ascii="Microsoft YaHei" w:cs="Microsoft YaHei" w:eastAsia="Microsoft YaHei" w:hAnsi="Microsoft YaHei"/>
          <w:color w:val="000000"/>
          <w:sz w:val="24"/>
          <w:szCs w:val="24"/>
        </w:rPr>
        <w:t xml:space="preserve">2026年8月</w:t>
      </w:r>
    </w:p>
    <w:p>
      <w:pPr>
        <w:spacing w:after="60"/>
        <w:jc w:val="center"/>
      </w:pPr>
      <w:r>
        <w:rPr>
          <w:rFonts w:ascii="Arial" w:cs="Arial" w:eastAsia="Arial" w:hAnsi="Arial"/>
          <w:i/>
          <w:iCs/>
          <w:color w:val="444444"/>
          <w:sz w:val="22"/>
          <w:szCs w:val="22"/>
        </w:rPr>
        <w:t xml:space="preserve">August 2026</w:t>
      </w:r>
    </w:p>
    <w:p>
      <w:pPr>
        <w:spacing w:before="200"/>
        <w:jc w:val="center"/>
      </w:pPr>
      <w:r>
        <w:rPr>
          <w:rFonts w:ascii="Microsoft YaHei" w:cs="Microsoft YaHei" w:eastAsia="Microsoft YaHei" w:hAnsi="Microsoft YaHei"/>
          <w:color w:val="888888"/>
          <w:sz w:val="22"/>
          <w:szCs w:val="22"/>
        </w:rPr>
        <w:t xml:space="preserve">白皮書  ·  White Paper</w:t>
      </w:r>
    </w:p>
    <w:p>
      <w:pPr>
        <w:sectPr>
          <w:pgSz w:w="11906" w:h="16838" w:orient="portrait"/>
          <w:pgMar w:top="1440" w:right="1440" w:bottom="1440" w:left="1440" w:header="708" w:footer="708" w:gutter="0"/>
          <w:pgNumType/>
          <w:docGrid w:linePitch="360"/>
        </w:sectPr>
      </w:pPr>
    </w:p>
    <w:p>
      <w:pPr>
        <w:pStyle w:val="Heading1"/>
        <w:spacing w:after="100" w:before="200"/>
      </w:pPr>
      <w:r>
        <w:rPr>
          <w:rFonts w:ascii="Microsoft YaHei" w:cs="Microsoft YaHei" w:eastAsia="Microsoft YaHei" w:hAnsi="Microsoft YaHei"/>
          <w:b/>
          <w:bCs/>
          <w:sz w:val="36"/>
          <w:szCs w:val="36"/>
        </w:rPr>
        <w:t xml:space="preserve">目錄</w:t>
      </w:r>
    </w:p>
    <w:p>
      <w:pPr>
        <w:spacing w:after="200"/>
      </w:pPr>
      <w:r>
        <w:rPr>
          <w:rFonts w:ascii="Arial" w:cs="Arial" w:eastAsia="Arial" w:hAnsi="Arial"/>
          <w:i/>
          <w:iCs/>
          <w:color w:val="444444"/>
          <w:sz w:val="28"/>
          <w:szCs w:val="28"/>
        </w:rPr>
        <w:t xml:space="preserve">Table of Contents</w:t>
      </w:r>
    </w:p>
    <w:sdt>
      <w:sdtPr>
        <w:alias w:val="目錄"/>
      </w:sdtPr>
      <w:sdtContent>
        <w:p>
          <w:r>
            <w:fldChar w:fldCharType="begin" w:dirty="true"/>
            <w:instrText xml:space="preserve">TOC \h \o "1-3"</w:instrText>
            <w:fldChar w:fldCharType="separate"/>
          </w:r>
        </w:p>
        <w:p>
          <w:r>
            <w:fldChar w:fldCharType="end"/>
          </w:r>
        </w:p>
      </w:sdtContent>
    </w:sdt>
    <w:p>
      <w:pPr>
        <w:spacing w:after="0" w:before="400"/>
      </w:pPr>
    </w:p>
    <w:p>
      <w:pPr>
        <w:spacing w:after="40" w:before="160"/>
      </w:pPr>
      <w:r>
        <w:rPr>
          <w:rFonts w:ascii="Microsoft YaHei" w:cs="Microsoft YaHei" w:eastAsia="Microsoft YaHei" w:hAnsi="Microsoft YaHei"/>
          <w:b/>
          <w:bCs/>
          <w:color w:val="000000"/>
          <w:sz w:val="22"/>
          <w:szCs w:val="22"/>
        </w:rPr>
        <w:t xml:space="preserve">前言：共生的時代</w:t>
      </w:r>
      <w:r>
        <w:t xml:space="preserve">  </w:t>
      </w:r>
      <w:r>
        <w:rPr>
          <w:rFonts w:ascii="Arial" w:cs="Arial" w:eastAsia="Arial" w:hAnsi="Arial"/>
          <w:i/>
          <w:iCs/>
          <w:color w:val="444444"/>
          <w:sz w:val="20"/>
          <w:szCs w:val="20"/>
        </w:rPr>
        <w:t xml:space="preserve">Prologue: The Age of Symbiosis</w:t>
      </w:r>
    </w:p>
    <w:p>
      <w:pPr>
        <w:spacing w:after="40" w:before="160"/>
      </w:pPr>
      <w:r>
        <w:rPr>
          <w:rFonts w:ascii="Microsoft YaHei" w:cs="Microsoft YaHei" w:eastAsia="Microsoft YaHei" w:hAnsi="Microsoft YaHei"/>
          <w:b/>
          <w:bCs/>
          <w:color w:val="000000"/>
          <w:sz w:val="22"/>
          <w:szCs w:val="22"/>
        </w:rPr>
        <w:t xml:space="preserve">第一章：AI時代的來臨</w:t>
      </w:r>
      <w:r>
        <w:t xml:space="preserve">  </w:t>
      </w:r>
      <w:r>
        <w:rPr>
          <w:rFonts w:ascii="Arial" w:cs="Arial" w:eastAsia="Arial" w:hAnsi="Arial"/>
          <w:i/>
          <w:iCs/>
          <w:color w:val="444444"/>
          <w:sz w:val="20"/>
          <w:szCs w:val="20"/>
        </w:rPr>
        <w:t xml:space="preserve">Ch.1 The Dawn of the AI Era</w:t>
      </w:r>
    </w:p>
    <w:p>
      <w:pPr>
        <w:spacing w:after="40" w:before="160"/>
      </w:pPr>
      <w:r>
        <w:rPr>
          <w:rFonts w:ascii="Microsoft YaHei" w:cs="Microsoft YaHei" w:eastAsia="Microsoft YaHei" w:hAnsi="Microsoft YaHei"/>
          <w:b/>
          <w:bCs/>
          <w:color w:val="000000"/>
          <w:sz w:val="22"/>
          <w:szCs w:val="22"/>
        </w:rPr>
        <w:t xml:space="preserve">第二章：混合人機智能（HHAI）理念</w:t>
      </w:r>
      <w:r>
        <w:t xml:space="preserve">  </w:t>
      </w:r>
      <w:r>
        <w:rPr>
          <w:rFonts w:ascii="Arial" w:cs="Arial" w:eastAsia="Arial" w:hAnsi="Arial"/>
          <w:i/>
          <w:iCs/>
          <w:color w:val="444444"/>
          <w:sz w:val="20"/>
          <w:szCs w:val="20"/>
        </w:rPr>
        <w:t xml:space="preserve">Ch.2 The HHAI Philosophy</w:t>
      </w:r>
    </w:p>
    <w:p>
      <w:pPr>
        <w:spacing w:after="40" w:before="160"/>
      </w:pPr>
      <w:r>
        <w:rPr>
          <w:rFonts w:ascii="Microsoft YaHei" w:cs="Microsoft YaHei" w:eastAsia="Microsoft YaHei" w:hAnsi="Microsoft YaHei"/>
          <w:b/>
          <w:bCs/>
          <w:color w:val="000000"/>
          <w:sz w:val="22"/>
          <w:szCs w:val="22"/>
        </w:rPr>
        <w:t xml:space="preserve">第三章：決策模型的革命</w:t>
      </w:r>
      <w:r>
        <w:t xml:space="preserve">  </w:t>
      </w:r>
      <w:r>
        <w:rPr>
          <w:rFonts w:ascii="Arial" w:cs="Arial" w:eastAsia="Arial" w:hAnsi="Arial"/>
          <w:i/>
          <w:iCs/>
          <w:color w:val="444444"/>
          <w:sz w:val="20"/>
          <w:szCs w:val="20"/>
        </w:rPr>
        <w:t xml:space="preserve">Ch.3 Revolution in Decision-Making Models</w:t>
      </w:r>
    </w:p>
    <w:p>
      <w:pPr>
        <w:spacing w:after="40" w:before="160"/>
      </w:pPr>
      <w:r>
        <w:rPr>
          <w:rFonts w:ascii="Microsoft YaHei" w:cs="Microsoft YaHei" w:eastAsia="Microsoft YaHei" w:hAnsi="Microsoft YaHei"/>
          <w:b/>
          <w:bCs/>
          <w:color w:val="000000"/>
          <w:sz w:val="22"/>
          <w:szCs w:val="22"/>
        </w:rPr>
        <w:t xml:space="preserve">第四章：從自動化到人機共生</w:t>
      </w:r>
      <w:r>
        <w:t xml:space="preserve">  </w:t>
      </w:r>
      <w:r>
        <w:rPr>
          <w:rFonts w:ascii="Arial" w:cs="Arial" w:eastAsia="Arial" w:hAnsi="Arial"/>
          <w:i/>
          <w:iCs/>
          <w:color w:val="444444"/>
          <w:sz w:val="20"/>
          <w:szCs w:val="20"/>
        </w:rPr>
        <w:t xml:space="preserve">Ch.4 From Automation to Symbiosis</w:t>
      </w:r>
    </w:p>
    <w:p>
      <w:pPr>
        <w:spacing w:after="40" w:before="160"/>
      </w:pPr>
      <w:r>
        <w:rPr>
          <w:rFonts w:ascii="Microsoft YaHei" w:cs="Microsoft YaHei" w:eastAsia="Microsoft YaHei" w:hAnsi="Microsoft YaHei"/>
          <w:b/>
          <w:bCs/>
          <w:color w:val="000000"/>
          <w:sz w:val="22"/>
          <w:szCs w:val="22"/>
        </w:rPr>
        <w:t xml:space="preserve">第五章：為什麼自建，而非依賴SaaS</w:t>
      </w:r>
      <w:r>
        <w:t xml:space="preserve">  </w:t>
      </w:r>
      <w:r>
        <w:rPr>
          <w:rFonts w:ascii="Arial" w:cs="Arial" w:eastAsia="Arial" w:hAnsi="Arial"/>
          <w:i/>
          <w:iCs/>
          <w:color w:val="444444"/>
          <w:sz w:val="20"/>
          <w:szCs w:val="20"/>
        </w:rPr>
        <w:t xml:space="preserve">Ch.5 Why Build In-House, Not SaaS</w:t>
      </w:r>
    </w:p>
    <w:p>
      <w:pPr>
        <w:spacing w:after="40" w:before="160"/>
      </w:pPr>
      <w:r>
        <w:rPr>
          <w:rFonts w:ascii="Microsoft YaHei" w:cs="Microsoft YaHei" w:eastAsia="Microsoft YaHei" w:hAnsi="Microsoft YaHei"/>
          <w:b/>
          <w:bCs/>
          <w:color w:val="000000"/>
          <w:sz w:val="22"/>
          <w:szCs w:val="22"/>
        </w:rPr>
        <w:t xml:space="preserve">第六章：HHAI在專業服務中的管理實踐</w:t>
      </w:r>
      <w:r>
        <w:t xml:space="preserve">  </w:t>
      </w:r>
      <w:r>
        <w:rPr>
          <w:rFonts w:ascii="Arial" w:cs="Arial" w:eastAsia="Arial" w:hAnsi="Arial"/>
          <w:i/>
          <w:iCs/>
          <w:color w:val="444444"/>
          <w:sz w:val="20"/>
          <w:szCs w:val="20"/>
        </w:rPr>
        <w:t xml:space="preserve">Ch.6 HHAI in Professional Services Practice</w:t>
      </w:r>
    </w:p>
    <w:p>
      <w:pPr>
        <w:spacing w:after="40" w:before="160"/>
      </w:pPr>
      <w:r>
        <w:rPr>
          <w:rFonts w:ascii="Microsoft YaHei" w:cs="Microsoft YaHei" w:eastAsia="Microsoft YaHei" w:hAnsi="Microsoft YaHei"/>
          <w:b/>
          <w:bCs/>
          <w:color w:val="000000"/>
          <w:sz w:val="22"/>
          <w:szCs w:val="22"/>
        </w:rPr>
        <w:t xml:space="preserve">第七章：未來展望與承諾</w:t>
      </w:r>
      <w:r>
        <w:t xml:space="preserve">  </w:t>
      </w:r>
      <w:r>
        <w:rPr>
          <w:rFonts w:ascii="Arial" w:cs="Arial" w:eastAsia="Arial" w:hAnsi="Arial"/>
          <w:i/>
          <w:iCs/>
          <w:color w:val="444444"/>
          <w:sz w:val="20"/>
          <w:szCs w:val="20"/>
        </w:rPr>
        <w:t xml:space="preserve">Ch.7 Future Outlook and Commitment</w:t>
      </w:r>
    </w:p>
    <w:p>
      <w:pPr>
        <w:spacing w:after="40" w:before="160"/>
      </w:pPr>
      <w:r>
        <w:rPr>
          <w:rFonts w:ascii="Microsoft YaHei" w:cs="Microsoft YaHei" w:eastAsia="Microsoft YaHei" w:hAnsi="Microsoft YaHei"/>
          <w:b/>
          <w:bCs/>
          <w:color w:val="000000"/>
          <w:sz w:val="22"/>
          <w:szCs w:val="22"/>
        </w:rPr>
        <w:t xml:space="preserve">結語</w:t>
      </w:r>
      <w:r>
        <w:t xml:space="preserve">  </w:t>
      </w:r>
      <w:r>
        <w:rPr>
          <w:rFonts w:ascii="Arial" w:cs="Arial" w:eastAsia="Arial" w:hAnsi="Arial"/>
          <w:i/>
          <w:iCs/>
          <w:color w:val="444444"/>
          <w:sz w:val="20"/>
          <w:szCs w:val="20"/>
        </w:rPr>
        <w:t xml:space="preserve">Conclusion</w:t>
      </w:r>
    </w:p>
    <w:p>
      <w:pPr>
        <w:spacing w:after="40" w:before="160"/>
      </w:pPr>
      <w:r>
        <w:rPr>
          <w:rFonts w:ascii="Microsoft YaHei" w:cs="Microsoft YaHei" w:eastAsia="Microsoft YaHei" w:hAnsi="Microsoft YaHei"/>
          <w:b/>
          <w:bCs/>
          <w:color w:val="000000"/>
          <w:sz w:val="22"/>
          <w:szCs w:val="22"/>
        </w:rPr>
        <w:t xml:space="preserve">參考文獻</w:t>
      </w:r>
      <w:r>
        <w:t xml:space="preserve">  </w:t>
      </w:r>
      <w:r>
        <w:rPr>
          <w:rFonts w:ascii="Arial" w:cs="Arial" w:eastAsia="Arial" w:hAnsi="Arial"/>
          <w:i/>
          <w:iCs/>
          <w:color w:val="444444"/>
          <w:sz w:val="20"/>
          <w:szCs w:val="20"/>
        </w:rPr>
        <w:t xml:space="preserve">References</w:t>
      </w:r>
    </w:p>
    <w:p>
      <w:pPr>
        <w:sectPr>
          <w:headerReference w:type="default" r:id="rId7"/>
          <w:footerReference w:type="default" r:id="rId8"/>
          <w:pgSz w:w="11906" w:h="16838" w:orient="portrait"/>
          <w:pgMar w:top="1440" w:right="1440" w:bottom="1440" w:left="1440" w:header="708" w:footer="708" w:gutter="0"/>
          <w:pgNumType/>
          <w:docGrid w:linePitch="360"/>
        </w:sectPr>
      </w:pPr>
    </w:p>
    <w:p>
      <w:pPr>
        <w:pStyle w:val="Heading1"/>
        <w:spacing w:after="60" w:before="360"/>
      </w:pPr>
      <w:r>
        <w:rPr>
          <w:rFonts w:ascii="Microsoft YaHei" w:cs="Microsoft YaHei" w:eastAsia="Microsoft YaHei" w:hAnsi="Microsoft YaHei"/>
          <w:b/>
          <w:bCs/>
          <w:color w:val="000000"/>
          <w:sz w:val="36"/>
          <w:szCs w:val="36"/>
        </w:rPr>
        <w:t xml:space="preserve">前言：共生的時代</w:t>
      </w:r>
    </w:p>
    <w:p>
      <w:pPr>
        <w:spacing w:after="240" w:before="0"/>
        <w:ind w:left="0"/>
      </w:pPr>
      <w:r>
        <w:rPr>
          <w:rFonts w:ascii="Arial" w:cs="Arial" w:eastAsia="Arial" w:hAnsi="Arial"/>
          <w:i/>
          <w:iCs/>
          <w:color w:val="444444"/>
          <w:sz w:val="28"/>
          <w:szCs w:val="28"/>
        </w:rPr>
        <w:t xml:space="preserve">Prologue: The Age of Symbiosis</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核心觀點：我們正站在人類認知史上最重要的轉折點——AI不再是工具，而是認知合夥人。</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We stand at the most pivotal inflection point in human cognitive history — AI is no longer a tool, but a cognitive partner.</w:t>
      </w:r>
    </w:p>
    <w:p>
      <w:pPr>
        <w:spacing w:after="60" w:before="120"/>
        <w:jc w:val="both"/>
      </w:pPr>
      <w:r>
        <w:rPr>
          <w:rFonts w:ascii="Microsoft YaHei" w:cs="Microsoft YaHei" w:eastAsia="Microsoft YaHei" w:hAnsi="Microsoft YaHei"/>
          <w:b w:val="false"/>
          <w:bCs w:val="false"/>
          <w:color w:val="000000"/>
          <w:sz w:val="24"/>
          <w:szCs w:val="24"/>
        </w:rPr>
        <w:t xml:space="preserve">人類文明的每一次飛躍，都伴隨著認知工具的革命。文字的發明讓知識超越了個體記憶的邊界；印刷術讓思想突破了時空的束縛；計算機將邏輯推理從人腦釋放到矽晶片。而今天，我們正見證一場更為深刻的變革——AI不再是被人動使用的工具，而是開始擁有自主判斷、主動行動能力的「智能體」（Agent）。</w:t>
      </w:r>
    </w:p>
    <w:p>
      <w:pPr>
        <w:spacing w:after="180" w:before="0"/>
        <w:jc w:val="both"/>
      </w:pPr>
      <w:r>
        <w:rPr>
          <w:rFonts w:ascii="Arial" w:cs="Arial" w:eastAsia="Arial" w:hAnsi="Arial"/>
          <w:i/>
          <w:iCs/>
          <w:color w:val="444444"/>
          <w:sz w:val="22"/>
          <w:szCs w:val="22"/>
        </w:rPr>
        <w:t xml:space="preserve">Each leap in human civilization has been accompanied by a revolution in cognitive tools. Writing enabled knowledge to transcend individual memory; the printing press allowed ideas to break free from time and space; computers liberated logical reasoning to silicon chips. Today, we witness an even more profound transformation — AI is no longer a passively used tool, but is beginning to possess autonomous judgment and proactive action as an 'intelligent agent.'</w:t>
      </w:r>
    </w:p>
    <w:p>
      <w:pPr>
        <w:spacing w:after="60" w:before="120"/>
        <w:jc w:val="both"/>
      </w:pPr>
      <w:r>
        <w:rPr>
          <w:rFonts w:ascii="Microsoft YaHei" w:cs="Microsoft YaHei" w:eastAsia="Microsoft YaHei" w:hAnsi="Microsoft YaHei"/>
          <w:b w:val="false"/>
          <w:bCs w:val="false"/>
          <w:color w:val="000000"/>
          <w:sz w:val="24"/>
          <w:szCs w:val="24"/>
        </w:rPr>
        <w:t xml:space="preserve">大熊貓集團提出混合人機智能（Hybrid Human Agentic Intelligence, HHAI）理念，正是對這一時代變局的戰略回應。HHAI的核心主張是：AI與人類專業人員的關係，不應是簡單的替代或輔助，而是一種深層次的認知共生——如同菌根網絡中真菌與植物根系的互利共生，雙方在持續互動中共同進化，創造出任何一方單獨無法企及的集體智慧。</w:t>
      </w:r>
    </w:p>
    <w:p>
      <w:pPr>
        <w:spacing w:after="180" w:before="0"/>
        <w:jc w:val="both"/>
      </w:pPr>
      <w:r>
        <w:rPr>
          <w:rFonts w:ascii="Arial" w:cs="Arial" w:eastAsia="Arial" w:hAnsi="Arial"/>
          <w:i/>
          <w:iCs/>
          <w:color w:val="444444"/>
          <w:sz w:val="22"/>
          <w:szCs w:val="22"/>
        </w:rPr>
        <w:t xml:space="preserve">Panda Group's proposition of Hybrid Human Agentic Intelligence (HHAI) is a strategic response to this era-defining shift. HHAI's core proposition: the relationship between AI and human professionals should not be simple replacement or augmentation, but deep cognitive symbiosis — akin to mycorrhizal networks where fungi and plant roots co-evolve through continuous interaction, creating collective intelligence neither could achieve alone.</w:t>
      </w:r>
    </w:p>
    <w:p>
      <w:pPr>
        <w:spacing w:after="60" w:before="120"/>
        <w:jc w:val="both"/>
      </w:pPr>
      <w:r>
        <w:rPr>
          <w:rFonts w:ascii="Microsoft YaHei" w:cs="Microsoft YaHei" w:eastAsia="Microsoft YaHei" w:hAnsi="Microsoft YaHei"/>
          <w:b w:val="false"/>
          <w:bCs w:val="false"/>
          <w:color w:val="000000"/>
          <w:sz w:val="24"/>
          <w:szCs w:val="24"/>
        </w:rPr>
        <w:t xml:space="preserve">本白皮書將系統闡述HHAI的理念基礎、決策框架、演進路徑和管理實踐。我們以McKinsey、Deloitte、Brynjolfsson等權威研究為數據支撐，結合大熊貓集團在建築工程專業服務領域的深度實踐，為行業呈現一份兼具學術嚴謹性與實踐指導價值的戰略文獻。</w:t>
      </w:r>
    </w:p>
    <w:p>
      <w:pPr>
        <w:spacing w:after="180" w:before="0"/>
        <w:jc w:val="both"/>
      </w:pPr>
      <w:r>
        <w:rPr>
          <w:rFonts w:ascii="Arial" w:cs="Arial" w:eastAsia="Arial" w:hAnsi="Arial"/>
          <w:i/>
          <w:iCs/>
          <w:color w:val="444444"/>
          <w:sz w:val="22"/>
          <w:szCs w:val="22"/>
        </w:rPr>
        <w:t xml:space="preserve">This white paper systematically articulates HHAI's philosophical foundations, decision frameworks, evolutionary pathways, and management practices. Supported by authoritative research from McKinsey, Deloitte, Brynjolfsson, and others, combined with Panda Group's deep practice in construction and engineering professional services, we present a strategic document offering both academic rigor and practical guidance.</w:t>
      </w:r>
    </w:p>
    <w:p>
      <w:pPr>
        <w:spacing w:after="60" w:before="120"/>
        <w:jc w:val="both"/>
      </w:pPr>
      <w:r>
        <w:rPr>
          <w:rFonts w:ascii="Microsoft YaHei" w:cs="Microsoft YaHei" w:eastAsia="Microsoft YaHei" w:hAnsi="Microsoft YaHei"/>
          <w:b w:val="false"/>
          <w:bCs w:val="false"/>
          <w:color w:val="000000"/>
          <w:sz w:val="24"/>
          <w:szCs w:val="24"/>
        </w:rPr>
        <w:t xml:space="preserve">McKinsey的研究顯示，生成式AI每年可為全球經濟創造2.6至4.4萬億美元的價值。然而，80%的運營活動雖可被AI自動化，卻僅有3%已實現規模化部署。更值得警醒的是，僅有6%的企業成為AI高績效者。這意味著，技術能力不是差距的根源——組織能力才是。HHAI正是為彌合這一差距而生的管理方法論。</w:t>
      </w:r>
    </w:p>
    <w:p>
      <w:pPr>
        <w:spacing w:after="180" w:before="0"/>
        <w:jc w:val="both"/>
      </w:pPr>
      <w:r>
        <w:rPr>
          <w:rFonts w:ascii="Arial" w:cs="Arial" w:eastAsia="Arial" w:hAnsi="Arial"/>
          <w:i/>
          <w:iCs/>
          <w:color w:val="444444"/>
          <w:sz w:val="22"/>
          <w:szCs w:val="22"/>
        </w:rPr>
        <w:t xml:space="preserve">McKinsey's research shows generative AI can create USD 2.6-4.4 trillion in annual global economic value. Yet while 80% of operations are technically automatable, only 3% have been scaled. More alarmingly, only 6% of enterprises are AI high-performers. This means technological capability is not the root of the gap — organizational capability is. HHAI is a management methodology born to bridge this gap.</w:t>
      </w:r>
    </w:p>
    <w:p>
      <w:r>
        <w:br w:type="page"/>
      </w:r>
    </w:p>
    <w:p>
      <w:pPr>
        <w:pStyle w:val="Heading1"/>
        <w:spacing w:after="60" w:before="360"/>
      </w:pPr>
      <w:r>
        <w:rPr>
          <w:rFonts w:ascii="Microsoft YaHei" w:cs="Microsoft YaHei" w:eastAsia="Microsoft YaHei" w:hAnsi="Microsoft YaHei"/>
          <w:b/>
          <w:bCs/>
          <w:color w:val="000000"/>
          <w:sz w:val="36"/>
          <w:szCs w:val="36"/>
        </w:rPr>
        <w:t xml:space="preserve">第一章：AI時代的來臨</w:t>
      </w:r>
    </w:p>
    <w:p>
      <w:pPr>
        <w:spacing w:after="240" w:before="0"/>
        <w:ind w:left="0"/>
      </w:pPr>
      <w:r>
        <w:rPr>
          <w:rFonts w:ascii="Arial" w:cs="Arial" w:eastAsia="Arial" w:hAnsi="Arial"/>
          <w:i/>
          <w:iCs/>
          <w:color w:val="444444"/>
          <w:sz w:val="28"/>
          <w:szCs w:val="28"/>
        </w:rPr>
        <w:t xml:space="preserve">Chapter 1: The Dawn of the AI Era</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核心觀點：生成式AI每年創造2.6-4.4萬億美元價值，但僅3%已規模化——差距在組織能力，非技術能力。</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GenAI creates USD 2.6-4.4 trillion annual value, yet only 3% is scaled — the gap is organizational, not technological.</w:t>
      </w:r>
    </w:p>
    <w:p>
      <w:pPr>
        <w:pStyle w:val="Heading2"/>
        <w:spacing w:after="60" w:before="240"/>
      </w:pPr>
      <w:r>
        <w:rPr>
          <w:rFonts w:ascii="Microsoft YaHei" w:cs="Microsoft YaHei" w:eastAsia="Microsoft YaHei" w:hAnsi="Microsoft YaHei"/>
          <w:b/>
          <w:bCs/>
          <w:color w:val="000000"/>
          <w:sz w:val="30"/>
          <w:szCs w:val="30"/>
        </w:rPr>
        <w:t xml:space="preserve">1.1 從工具到認知合夥人</w:t>
      </w:r>
    </w:p>
    <w:p>
      <w:pPr>
        <w:spacing w:after="180" w:before="0"/>
        <w:ind w:left="360"/>
      </w:pPr>
      <w:r>
        <w:rPr>
          <w:rFonts w:ascii="Arial" w:cs="Arial" w:eastAsia="Arial" w:hAnsi="Arial"/>
          <w:i/>
          <w:iCs/>
          <w:color w:val="444444"/>
          <w:sz w:val="24"/>
          <w:szCs w:val="24"/>
        </w:rPr>
        <w:t xml:space="preserve">1.1 From Tool to Cognitive Partner</w:t>
      </w:r>
    </w:p>
    <w:p>
      <w:pPr>
        <w:spacing w:after="60" w:before="120"/>
        <w:jc w:val="both"/>
      </w:pPr>
      <w:r>
        <w:rPr>
          <w:rFonts w:ascii="Microsoft YaHei" w:cs="Microsoft YaHei" w:eastAsia="Microsoft YaHei" w:hAnsi="Microsoft YaHei"/>
          <w:b w:val="false"/>
          <w:bCs w:val="false"/>
          <w:color w:val="000000"/>
          <w:sz w:val="24"/>
          <w:szCs w:val="24"/>
        </w:rPr>
        <w:t xml:space="preserve">回顧計算機技術的發展史，AI的角色經歷了三次根本性轉變。第一代AI（1950s-1980s）是「規則執行者」——專家系統按照人類編寫的規則推理。第二代AI（1990s-2010s）是「模式識別者」——機器學習能從數據中發現人類難以察覺的模式。第三代AI（2020s至今）——以大語言模型和智能體為代表——已成為「認知合夥人」，能理解自然語言、進行多步推理、自主規劃和執行複雜任務。</w:t>
      </w:r>
    </w:p>
    <w:p>
      <w:pPr>
        <w:spacing w:after="180" w:before="0"/>
        <w:jc w:val="both"/>
      </w:pPr>
      <w:r>
        <w:rPr>
          <w:rFonts w:ascii="Arial" w:cs="Arial" w:eastAsia="Arial" w:hAnsi="Arial"/>
          <w:i/>
          <w:iCs/>
          <w:color w:val="444444"/>
          <w:sz w:val="22"/>
          <w:szCs w:val="22"/>
        </w:rPr>
        <w:t xml:space="preserve">Reviewing computing history, AI's role has undergone three fundamental transformations. First-generation AI (1950s-1980s) was the 'rule executor' — expert systems reasoning per human-written rules. Second-generation AI (1990s-2010s) was the 'pattern recognizer' — ML discovering patterns invisible to humans. Third-generation AI (2020s-present) — represented by LLMs and agents — has become a 'cognitive partner,' understanding natural language, performing multi-step reasoning, and autonomously executing complex tasks.</w:t>
      </w:r>
    </w:p>
    <w:p>
      <w:pPr>
        <w:spacing w:after="60" w:before="120"/>
        <w:jc w:val="both"/>
      </w:pPr>
      <w:r>
        <w:rPr>
          <w:rFonts w:ascii="Microsoft YaHei" w:cs="Microsoft YaHei" w:eastAsia="Microsoft YaHei" w:hAnsi="Microsoft YaHei"/>
          <w:b w:val="false"/>
          <w:bCs w:val="false"/>
          <w:color w:val="000000"/>
          <w:sz w:val="24"/>
          <w:szCs w:val="24"/>
        </w:rPr>
        <w:t xml:space="preserve">這一轉變的深層意義在於：AI從「被人使用」進化到了「與人協作」。正如Shaw與Nave（2026）在三系統理論中所闡釋的，AI已成為繼人類快思考（System 1）和慢思考（System 2）之後的第三認知系統（System 3）——具有外部性、自動性、數據驅動和動態性四大特徵。人類不再是唯一擁有「認知」能力的物種。</w:t>
      </w:r>
    </w:p>
    <w:p>
      <w:pPr>
        <w:spacing w:after="180" w:before="0"/>
        <w:jc w:val="both"/>
      </w:pPr>
      <w:r>
        <w:rPr>
          <w:rFonts w:ascii="Arial" w:cs="Arial" w:eastAsia="Arial" w:hAnsi="Arial"/>
          <w:i/>
          <w:iCs/>
          <w:color w:val="444444"/>
          <w:sz w:val="22"/>
          <w:szCs w:val="22"/>
        </w:rPr>
        <w:t xml:space="preserve">The deeper significance: AI has evolved from 'being used' to 'collaborating with.' As Shaw &amp; Nave (2026) articulate in their Tri-System Theory, AI has become a third cognitive system (System 3) after human System 1 (fast) and System 2 (slow) — characterized by externality, automaticity, data-driven nature, and dynamism. Humans are no longer the only species possessing 'cognition.'</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200"/>
        <w:gridCol w:w="2400"/>
      </w:tblGrid>
      <w:tr>
        <w:trPr>
          <w:tblHeader/>
        </w:trPr>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維度 / Dimension</w:t>
            </w:r>
          </w:p>
        </w:tc>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第一代 AI
First Gen.</w:t>
            </w:r>
          </w:p>
        </w:tc>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第二代 AI
Second Gen.</w:t>
            </w:r>
          </w:p>
        </w:tc>
        <w:tc>
          <w:tcPr>
            <w:tcW w:type="dxa" w:w="2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第三代 AI
Third Gen. (HHAI)</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時期</w:t>
            </w:r>
          </w:p>
          <w:p>
            <w:pPr>
              <w:spacing w:after="40" w:before="0"/>
              <w:jc w:val="left"/>
            </w:pPr>
            <w:r>
              <w:rPr>
                <w:rFonts w:ascii="Arial" w:cs="Arial" w:eastAsia="Arial" w:hAnsi="Arial"/>
                <w:i/>
                <w:iCs/>
                <w:color w:val="444444"/>
                <w:sz w:val="18"/>
                <w:szCs w:val="18"/>
              </w:rPr>
              <w:t xml:space="preserve">Period</w:t>
            </w:r>
          </w:p>
        </w:tc>
        <w:tc>
          <w:tcPr>
            <w:tcW w:type="dxa" w:w="22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1950s-1980s</w:t>
            </w:r>
          </w:p>
        </w:tc>
        <w:tc>
          <w:tcPr>
            <w:tcW w:type="dxa" w:w="22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1990s-2010s</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2020s至今</w:t>
            </w:r>
          </w:p>
          <w:p>
            <w:pPr>
              <w:spacing w:after="40" w:before="0"/>
              <w:jc w:val="left"/>
            </w:pPr>
            <w:r>
              <w:rPr>
                <w:rFonts w:ascii="Arial" w:cs="Arial" w:eastAsia="Arial" w:hAnsi="Arial"/>
                <w:i/>
                <w:iCs/>
                <w:color w:val="444444"/>
                <w:sz w:val="18"/>
                <w:szCs w:val="18"/>
              </w:rPr>
              <w:t xml:space="preserve">Present</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核心能力</w:t>
            </w:r>
          </w:p>
          <w:p>
            <w:pPr>
              <w:spacing w:after="40" w:before="0"/>
              <w:jc w:val="left"/>
            </w:pPr>
            <w:r>
              <w:rPr>
                <w:rFonts w:ascii="Arial" w:cs="Arial" w:eastAsia="Arial" w:hAnsi="Arial"/>
                <w:i/>
                <w:iCs/>
                <w:color w:val="444444"/>
                <w:sz w:val="18"/>
                <w:szCs w:val="18"/>
              </w:rPr>
              <w:t xml:space="preserve">Core Capability</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規則執行</w:t>
            </w:r>
          </w:p>
          <w:p>
            <w:pPr>
              <w:spacing w:after="40" w:before="0"/>
              <w:jc w:val="left"/>
            </w:pPr>
            <w:r>
              <w:rPr>
                <w:rFonts w:ascii="Arial" w:cs="Arial" w:eastAsia="Arial" w:hAnsi="Arial"/>
                <w:i/>
                <w:iCs/>
                <w:color w:val="444444"/>
                <w:sz w:val="18"/>
                <w:szCs w:val="18"/>
              </w:rPr>
              <w:t xml:space="preserve">Rule Execution</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模式識別</w:t>
            </w:r>
          </w:p>
          <w:p>
            <w:pPr>
              <w:spacing w:after="40" w:before="0"/>
              <w:jc w:val="left"/>
            </w:pPr>
            <w:r>
              <w:rPr>
                <w:rFonts w:ascii="Arial" w:cs="Arial" w:eastAsia="Arial" w:hAnsi="Arial"/>
                <w:i/>
                <w:iCs/>
                <w:color w:val="444444"/>
                <w:sz w:val="18"/>
                <w:szCs w:val="18"/>
              </w:rPr>
              <w:t xml:space="preserve">Pattern Recognition</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認知推理</w:t>
            </w:r>
          </w:p>
          <w:p>
            <w:pPr>
              <w:spacing w:after="40" w:before="0"/>
              <w:jc w:val="left"/>
            </w:pPr>
            <w:r>
              <w:rPr>
                <w:rFonts w:ascii="Arial" w:cs="Arial" w:eastAsia="Arial" w:hAnsi="Arial"/>
                <w:i/>
                <w:iCs/>
                <w:color w:val="444444"/>
                <w:sz w:val="18"/>
                <w:szCs w:val="18"/>
              </w:rPr>
              <w:t xml:space="preserve">Cognitive Reasoning</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AI角色</w:t>
            </w:r>
          </w:p>
          <w:p>
            <w:pPr>
              <w:spacing w:after="40" w:before="0"/>
              <w:jc w:val="left"/>
            </w:pPr>
            <w:r>
              <w:rPr>
                <w:rFonts w:ascii="Arial" w:cs="Arial" w:eastAsia="Arial" w:hAnsi="Arial"/>
                <w:i/>
                <w:iCs/>
                <w:color w:val="444444"/>
                <w:sz w:val="18"/>
                <w:szCs w:val="18"/>
              </w:rPr>
              <w:t xml:space="preserve">AI Role</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工具</w:t>
            </w:r>
          </w:p>
          <w:p>
            <w:pPr>
              <w:spacing w:after="40" w:before="0"/>
              <w:jc w:val="left"/>
            </w:pPr>
            <w:r>
              <w:rPr>
                <w:rFonts w:ascii="Arial" w:cs="Arial" w:eastAsia="Arial" w:hAnsi="Arial"/>
                <w:i/>
                <w:iCs/>
                <w:color w:val="444444"/>
                <w:sz w:val="18"/>
                <w:szCs w:val="18"/>
              </w:rPr>
              <w:t xml:space="preserve">Tool</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助手</w:t>
            </w:r>
          </w:p>
          <w:p>
            <w:pPr>
              <w:spacing w:after="40" w:before="0"/>
              <w:jc w:val="left"/>
            </w:pPr>
            <w:r>
              <w:rPr>
                <w:rFonts w:ascii="Arial" w:cs="Arial" w:eastAsia="Arial" w:hAnsi="Arial"/>
                <w:i/>
                <w:iCs/>
                <w:color w:val="444444"/>
                <w:sz w:val="18"/>
                <w:szCs w:val="18"/>
              </w:rPr>
              <w:t xml:space="preserve">Assistant</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合夥人</w:t>
            </w:r>
          </w:p>
          <w:p>
            <w:pPr>
              <w:spacing w:after="40" w:before="0"/>
              <w:jc w:val="left"/>
            </w:pPr>
            <w:r>
              <w:rPr>
                <w:rFonts w:ascii="Arial" w:cs="Arial" w:eastAsia="Arial" w:hAnsi="Arial"/>
                <w:i/>
                <w:iCs/>
                <w:color w:val="444444"/>
                <w:sz w:val="18"/>
                <w:szCs w:val="18"/>
              </w:rPr>
              <w:t xml:space="preserve">Partner</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人類角色</w:t>
            </w:r>
          </w:p>
          <w:p>
            <w:pPr>
              <w:spacing w:after="40" w:before="0"/>
              <w:jc w:val="left"/>
            </w:pPr>
            <w:r>
              <w:rPr>
                <w:rFonts w:ascii="Arial" w:cs="Arial" w:eastAsia="Arial" w:hAnsi="Arial"/>
                <w:i/>
                <w:iCs/>
                <w:color w:val="444444"/>
                <w:sz w:val="18"/>
                <w:szCs w:val="18"/>
              </w:rPr>
              <w:t xml:space="preserve">Human Role</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規則編寫者</w:t>
            </w:r>
          </w:p>
          <w:p>
            <w:pPr>
              <w:spacing w:after="40" w:before="0"/>
              <w:jc w:val="left"/>
            </w:pPr>
            <w:r>
              <w:rPr>
                <w:rFonts w:ascii="Arial" w:cs="Arial" w:eastAsia="Arial" w:hAnsi="Arial"/>
                <w:i/>
                <w:iCs/>
                <w:color w:val="444444"/>
                <w:sz w:val="18"/>
                <w:szCs w:val="18"/>
              </w:rPr>
              <w:t xml:space="preserve">Rule Writer</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數據標注者</w:t>
            </w:r>
          </w:p>
          <w:p>
            <w:pPr>
              <w:spacing w:after="40" w:before="0"/>
              <w:jc w:val="left"/>
            </w:pPr>
            <w:r>
              <w:rPr>
                <w:rFonts w:ascii="Arial" w:cs="Arial" w:eastAsia="Arial" w:hAnsi="Arial"/>
                <w:i/>
                <w:iCs/>
                <w:color w:val="444444"/>
                <w:sz w:val="18"/>
                <w:szCs w:val="18"/>
              </w:rPr>
              <w:t xml:space="preserve">Annotator</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戰略決策者</w:t>
            </w:r>
          </w:p>
          <w:p>
            <w:pPr>
              <w:spacing w:after="40" w:before="0"/>
              <w:jc w:val="left"/>
            </w:pPr>
            <w:r>
              <w:rPr>
                <w:rFonts w:ascii="Arial" w:cs="Arial" w:eastAsia="Arial" w:hAnsi="Arial"/>
                <w:i/>
                <w:iCs/>
                <w:color w:val="444444"/>
                <w:sz w:val="18"/>
                <w:szCs w:val="18"/>
              </w:rPr>
              <w:t xml:space="preserve">Strategic Decider</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典型應用</w:t>
            </w:r>
          </w:p>
          <w:p>
            <w:pPr>
              <w:spacing w:after="40" w:before="0"/>
              <w:jc w:val="left"/>
            </w:pPr>
            <w:r>
              <w:rPr>
                <w:rFonts w:ascii="Arial" w:cs="Arial" w:eastAsia="Arial" w:hAnsi="Arial"/>
                <w:i/>
                <w:iCs/>
                <w:color w:val="444444"/>
                <w:sz w:val="18"/>
                <w:szCs w:val="18"/>
              </w:rPr>
              <w:t xml:space="preserve">Application</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專家系統</w:t>
            </w:r>
          </w:p>
          <w:p>
            <w:pPr>
              <w:spacing w:after="40" w:before="0"/>
              <w:jc w:val="left"/>
            </w:pPr>
            <w:r>
              <w:rPr>
                <w:rFonts w:ascii="Arial" w:cs="Arial" w:eastAsia="Arial" w:hAnsi="Arial"/>
                <w:i/>
                <w:iCs/>
                <w:color w:val="444444"/>
                <w:sz w:val="18"/>
                <w:szCs w:val="18"/>
              </w:rPr>
              <w:t xml:space="preserve">Expert Systems</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推薦算法</w:t>
            </w:r>
          </w:p>
          <w:p>
            <w:pPr>
              <w:spacing w:after="40" w:before="0"/>
              <w:jc w:val="left"/>
            </w:pPr>
            <w:r>
              <w:rPr>
                <w:rFonts w:ascii="Arial" w:cs="Arial" w:eastAsia="Arial" w:hAnsi="Arial"/>
                <w:i/>
                <w:iCs/>
                <w:color w:val="444444"/>
                <w:sz w:val="18"/>
                <w:szCs w:val="18"/>
              </w:rPr>
              <w:t xml:space="preserve">Recommendation</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智能體</w:t>
            </w:r>
          </w:p>
          <w:p>
            <w:pPr>
              <w:spacing w:after="40" w:before="0"/>
              <w:jc w:val="left"/>
            </w:pPr>
            <w:r>
              <w:rPr>
                <w:rFonts w:ascii="Arial" w:cs="Arial" w:eastAsia="Arial" w:hAnsi="Arial"/>
                <w:i/>
                <w:iCs/>
                <w:color w:val="444444"/>
                <w:sz w:val="18"/>
                <w:szCs w:val="18"/>
              </w:rPr>
              <w:t xml:space="preserve">Intelligent Agents</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認知層次</w:t>
            </w:r>
          </w:p>
          <w:p>
            <w:pPr>
              <w:spacing w:after="40" w:before="0"/>
              <w:jc w:val="left"/>
            </w:pPr>
            <w:r>
              <w:rPr>
                <w:rFonts w:ascii="Arial" w:cs="Arial" w:eastAsia="Arial" w:hAnsi="Arial"/>
                <w:i/>
                <w:iCs/>
                <w:color w:val="444444"/>
                <w:sz w:val="18"/>
                <w:szCs w:val="18"/>
              </w:rPr>
              <w:t xml:space="preserve">Cognitive Level</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計算</w:t>
            </w:r>
          </w:p>
          <w:p>
            <w:pPr>
              <w:spacing w:after="40" w:before="0"/>
              <w:jc w:val="left"/>
            </w:pPr>
            <w:r>
              <w:rPr>
                <w:rFonts w:ascii="Arial" w:cs="Arial" w:eastAsia="Arial" w:hAnsi="Arial"/>
                <w:i/>
                <w:iCs/>
                <w:color w:val="444444"/>
                <w:sz w:val="18"/>
                <w:szCs w:val="18"/>
              </w:rPr>
              <w:t xml:space="preserve">Computation</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感知</w:t>
            </w:r>
          </w:p>
          <w:p>
            <w:pPr>
              <w:spacing w:after="40" w:before="0"/>
              <w:jc w:val="left"/>
            </w:pPr>
            <w:r>
              <w:rPr>
                <w:rFonts w:ascii="Arial" w:cs="Arial" w:eastAsia="Arial" w:hAnsi="Arial"/>
                <w:i/>
                <w:iCs/>
                <w:color w:val="444444"/>
                <w:sz w:val="18"/>
                <w:szCs w:val="18"/>
              </w:rPr>
              <w:t xml:space="preserve">Perception</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理解與推理</w:t>
            </w:r>
          </w:p>
          <w:p>
            <w:pPr>
              <w:spacing w:after="40" w:before="0"/>
              <w:jc w:val="left"/>
            </w:pPr>
            <w:r>
              <w:rPr>
                <w:rFonts w:ascii="Arial" w:cs="Arial" w:eastAsia="Arial" w:hAnsi="Arial"/>
                <w:i/>
                <w:iCs/>
                <w:color w:val="444444"/>
                <w:sz w:val="18"/>
                <w:szCs w:val="18"/>
              </w:rPr>
              <w:t xml:space="preserve">Understanding</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1.2 全球AI經濟規模</w:t>
      </w:r>
    </w:p>
    <w:p>
      <w:pPr>
        <w:spacing w:after="180" w:before="0"/>
        <w:ind w:left="360"/>
      </w:pPr>
      <w:r>
        <w:rPr>
          <w:rFonts w:ascii="Arial" w:cs="Arial" w:eastAsia="Arial" w:hAnsi="Arial"/>
          <w:i/>
          <w:iCs/>
          <w:color w:val="444444"/>
          <w:sz w:val="24"/>
          <w:szCs w:val="24"/>
        </w:rPr>
        <w:t xml:space="preserve">1.2 Global AI Economic Scale</w:t>
      </w:r>
    </w:p>
    <w:p>
      <w:pPr>
        <w:spacing w:after="60" w:before="120"/>
        <w:jc w:val="both"/>
      </w:pPr>
      <w:r>
        <w:rPr>
          <w:rFonts w:ascii="Microsoft YaHei" w:cs="Microsoft YaHei" w:eastAsia="Microsoft YaHei" w:hAnsi="Microsoft YaHei"/>
          <w:b w:val="false"/>
          <w:bCs w:val="false"/>
          <w:color w:val="000000"/>
          <w:sz w:val="24"/>
          <w:szCs w:val="24"/>
        </w:rPr>
        <w:t xml:space="preserve">McKinsey 2024年的研究估算，生成式AI每年可為全球經濟貢獻2.6萬億至4.4萬億美元的增量價值，相當於全球GDP的3-5%。其中50%以上的價值已在當前技術能力範圍內可實現。按行業劃分，軟件與IT服務（29-37%）、金融服務（14-18%）、零售與消費品（10-14%）和醫療保健（8-12%）是最大的價值創造領域。</w:t>
      </w:r>
    </w:p>
    <w:p>
      <w:pPr>
        <w:spacing w:after="180" w:before="0"/>
        <w:jc w:val="both"/>
      </w:pPr>
      <w:r>
        <w:rPr>
          <w:rFonts w:ascii="Arial" w:cs="Arial" w:eastAsia="Arial" w:hAnsi="Arial"/>
          <w:i/>
          <w:iCs/>
          <w:color w:val="444444"/>
          <w:sz w:val="22"/>
          <w:szCs w:val="22"/>
        </w:rPr>
        <w:t xml:space="preserve">McKinsey's 2024 research estimates generative AI can contribute USD 2.6-4.4 trillion in incremental value annually, equivalent to 3-5% of global GDP. Over 50% is achievable with current capabilities. By sector: software &amp; IT (29-37%), financial services (14-18%), retail &amp; consumer goods (10-14%), and healthcare (8-12%) represent the largest value domains.</w:t>
      </w:r>
    </w:p>
    <w:p>
      <w:pPr>
        <w:spacing w:after="60" w:before="120"/>
        <w:jc w:val="both"/>
      </w:pPr>
      <w:r>
        <w:rPr>
          <w:rFonts w:ascii="Microsoft YaHei" w:cs="Microsoft YaHei" w:eastAsia="Microsoft YaHei" w:hAnsi="Microsoft YaHei"/>
          <w:b w:val="false"/>
          <w:bCs w:val="false"/>
          <w:color w:val="000000"/>
          <w:sz w:val="24"/>
          <w:szCs w:val="24"/>
        </w:rPr>
        <w:t xml:space="preserve">然而，價值創造的潛力與實際實現之間存在巨大鴻溝。McKinsey同時指出，80%的運營活動在技術上可被AI自動化，但僅有3%已實現規模化部署。這3%與80%之間的巨大落差，正是HHAI理念存在的根本原因——它不是技術問題，而是組織與管理問題。</w:t>
      </w:r>
    </w:p>
    <w:p>
      <w:pPr>
        <w:spacing w:after="180" w:before="0"/>
        <w:jc w:val="both"/>
      </w:pPr>
      <w:r>
        <w:rPr>
          <w:rFonts w:ascii="Arial" w:cs="Arial" w:eastAsia="Arial" w:hAnsi="Arial"/>
          <w:i/>
          <w:iCs/>
          <w:color w:val="444444"/>
          <w:sz w:val="22"/>
          <w:szCs w:val="22"/>
        </w:rPr>
        <w:t xml:space="preserve">However, a vast chasm exists between potential and realization. McKinsey notes that while 80% of operations are technically automatable, only 3% have been scaled. The enormous gap between 3% and 80% is precisely why HHAI exists — it is not a technology problem but an organizational and management problem.</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1400"/>
        <w:gridCol w:w="2800"/>
      </w:tblGrid>
      <w:tr>
        <w:trPr>
          <w:tblHeader/>
        </w:trPr>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行業 / Sector</w:t>
            </w:r>
          </w:p>
        </w:tc>
        <w:tc>
          <w:tcPr>
            <w:tcW w:type="dxa" w:w="2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年價值潛力
Annual Value (USD B)</w:t>
            </w:r>
          </w:p>
        </w:tc>
        <w:tc>
          <w:tcPr>
            <w:tcW w:type="dxa" w:w="1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佔比
Share</w:t>
            </w:r>
          </w:p>
        </w:tc>
        <w:tc>
          <w:tcPr>
            <w:tcW w:type="dxa" w:w="2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關鍵用例 / Key Use Cases</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軟件與IT</w:t>
            </w:r>
          </w:p>
          <w:p>
            <w:pPr>
              <w:spacing w:after="40" w:before="0"/>
              <w:jc w:val="left"/>
            </w:pPr>
            <w:r>
              <w:rPr>
                <w:rFonts w:ascii="Arial" w:cs="Arial" w:eastAsia="Arial" w:hAnsi="Arial"/>
                <w:i/>
                <w:iCs/>
                <w:color w:val="444444"/>
                <w:sz w:val="18"/>
                <w:szCs w:val="18"/>
              </w:rPr>
              <w:t xml:space="preserve">Software &amp; IT</w:t>
            </w:r>
          </w:p>
        </w:tc>
        <w:tc>
          <w:tcPr>
            <w:tcW w:type="dxa" w:w="26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600-800</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29-37%</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代碼生成、測試自動化</w:t>
            </w:r>
          </w:p>
          <w:p>
            <w:pPr>
              <w:spacing w:after="40" w:before="0"/>
              <w:jc w:val="left"/>
            </w:pPr>
            <w:r>
              <w:rPr>
                <w:rFonts w:ascii="Arial" w:cs="Arial" w:eastAsia="Arial" w:hAnsi="Arial"/>
                <w:i/>
                <w:iCs/>
                <w:color w:val="444444"/>
                <w:sz w:val="18"/>
                <w:szCs w:val="18"/>
              </w:rPr>
              <w:t xml:space="preserve">Code Gen, Test Automation</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金融服務</w:t>
            </w:r>
          </w:p>
          <w:p>
            <w:pPr>
              <w:spacing w:after="40" w:before="0"/>
              <w:jc w:val="left"/>
            </w:pPr>
            <w:r>
              <w:rPr>
                <w:rFonts w:ascii="Arial" w:cs="Arial" w:eastAsia="Arial" w:hAnsi="Arial"/>
                <w:i/>
                <w:iCs/>
                <w:color w:val="444444"/>
                <w:sz w:val="18"/>
                <w:szCs w:val="18"/>
              </w:rPr>
              <w:t xml:space="preserve">Financial Services</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300-400</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14-18%</w:t>
            </w:r>
          </w:p>
        </w:tc>
        <w:tc>
          <w:tcPr>
            <w:tcW w:type="dxa" w:w="2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風險評估、合規監控</w:t>
            </w:r>
          </w:p>
          <w:p>
            <w:pPr>
              <w:spacing w:after="40" w:before="0"/>
              <w:jc w:val="left"/>
            </w:pPr>
            <w:r>
              <w:rPr>
                <w:rFonts w:ascii="Arial" w:cs="Arial" w:eastAsia="Arial" w:hAnsi="Arial"/>
                <w:i/>
                <w:iCs/>
                <w:color w:val="444444"/>
                <w:sz w:val="18"/>
                <w:szCs w:val="18"/>
              </w:rPr>
              <w:t xml:space="preserve">Risk Assessment, Compliance</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零售消費</w:t>
            </w:r>
          </w:p>
          <w:p>
            <w:pPr>
              <w:spacing w:after="40" w:before="0"/>
              <w:jc w:val="left"/>
            </w:pPr>
            <w:r>
              <w:rPr>
                <w:rFonts w:ascii="Arial" w:cs="Arial" w:eastAsia="Arial" w:hAnsi="Arial"/>
                <w:i/>
                <w:iCs/>
                <w:color w:val="444444"/>
                <w:sz w:val="18"/>
                <w:szCs w:val="18"/>
              </w:rPr>
              <w:t xml:space="preserve">Retail &amp; Consumer</w:t>
            </w:r>
          </w:p>
        </w:tc>
        <w:tc>
          <w:tcPr>
            <w:tcW w:type="dxa" w:w="26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220-310</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10-14%</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個性化推薦、供應鏈</w:t>
            </w:r>
          </w:p>
          <w:p>
            <w:pPr>
              <w:spacing w:after="40" w:before="0"/>
              <w:jc w:val="left"/>
            </w:pPr>
            <w:r>
              <w:rPr>
                <w:rFonts w:ascii="Arial" w:cs="Arial" w:eastAsia="Arial" w:hAnsi="Arial"/>
                <w:i/>
                <w:iCs/>
                <w:color w:val="444444"/>
                <w:sz w:val="18"/>
                <w:szCs w:val="18"/>
              </w:rPr>
              <w:t xml:space="preserve">Personalization, Supply Chain</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醫療保健</w:t>
            </w:r>
          </w:p>
          <w:p>
            <w:pPr>
              <w:spacing w:after="40" w:before="0"/>
              <w:jc w:val="left"/>
            </w:pPr>
            <w:r>
              <w:rPr>
                <w:rFonts w:ascii="Arial" w:cs="Arial" w:eastAsia="Arial" w:hAnsi="Arial"/>
                <w:i/>
                <w:iCs/>
                <w:color w:val="444444"/>
                <w:sz w:val="18"/>
                <w:szCs w:val="18"/>
              </w:rPr>
              <w:t xml:space="preserve">Healthcare</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180-270</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8-12%</w:t>
            </w:r>
          </w:p>
        </w:tc>
        <w:tc>
          <w:tcPr>
            <w:tcW w:type="dxa" w:w="2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診斷輔助、藥物發現</w:t>
            </w:r>
          </w:p>
          <w:p>
            <w:pPr>
              <w:spacing w:after="40" w:before="0"/>
              <w:jc w:val="left"/>
            </w:pPr>
            <w:r>
              <w:rPr>
                <w:rFonts w:ascii="Arial" w:cs="Arial" w:eastAsia="Arial" w:hAnsi="Arial"/>
                <w:i/>
                <w:iCs/>
                <w:color w:val="444444"/>
                <w:sz w:val="18"/>
                <w:szCs w:val="18"/>
              </w:rPr>
              <w:t xml:space="preserve">Diagnostic Aid, Drug Discovery</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教育</w:t>
            </w:r>
          </w:p>
          <w:p>
            <w:pPr>
              <w:spacing w:after="40" w:before="0"/>
              <w:jc w:val="left"/>
            </w:pPr>
            <w:r>
              <w:rPr>
                <w:rFonts w:ascii="Arial" w:cs="Arial" w:eastAsia="Arial" w:hAnsi="Arial"/>
                <w:i/>
                <w:iCs/>
                <w:color w:val="444444"/>
                <w:sz w:val="18"/>
                <w:szCs w:val="18"/>
              </w:rPr>
              <w:t xml:space="preserve">Education</w:t>
            </w:r>
          </w:p>
        </w:tc>
        <w:tc>
          <w:tcPr>
            <w:tcW w:type="dxa" w:w="26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100-160</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5-7%</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個性化學習、自動評估</w:t>
            </w:r>
          </w:p>
          <w:p>
            <w:pPr>
              <w:spacing w:after="40" w:before="0"/>
              <w:jc w:val="left"/>
            </w:pPr>
            <w:r>
              <w:rPr>
                <w:rFonts w:ascii="Arial" w:cs="Arial" w:eastAsia="Arial" w:hAnsi="Arial"/>
                <w:i/>
                <w:iCs/>
                <w:color w:val="444444"/>
                <w:sz w:val="18"/>
                <w:szCs w:val="18"/>
              </w:rPr>
              <w:t xml:space="preserve">Personalized Learning</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建築工程</w:t>
            </w:r>
          </w:p>
          <w:p>
            <w:pPr>
              <w:spacing w:after="40" w:before="0"/>
              <w:jc w:val="left"/>
            </w:pPr>
            <w:r>
              <w:rPr>
                <w:rFonts w:ascii="Arial" w:cs="Arial" w:eastAsia="Arial" w:hAnsi="Arial"/>
                <w:i/>
                <w:iCs/>
                <w:color w:val="444444"/>
                <w:sz w:val="18"/>
                <w:szCs w:val="18"/>
              </w:rPr>
              <w:t xml:space="preserve">AEC</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80-120</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3-5%</w:t>
            </w:r>
          </w:p>
        </w:tc>
        <w:tc>
          <w:tcPr>
            <w:tcW w:type="dxa" w:w="2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設計優化、進度管理</w:t>
            </w:r>
          </w:p>
          <w:p>
            <w:pPr>
              <w:spacing w:after="40" w:before="0"/>
              <w:jc w:val="left"/>
            </w:pPr>
            <w:r>
              <w:rPr>
                <w:rFonts w:ascii="Arial" w:cs="Arial" w:eastAsia="Arial" w:hAnsi="Arial"/>
                <w:i/>
                <w:iCs/>
                <w:color w:val="444444"/>
                <w:sz w:val="18"/>
                <w:szCs w:val="18"/>
              </w:rPr>
              <w:t xml:space="preserve">Design Optimization, Scheduling</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1.3 專業服務領域的AI轉型</w:t>
      </w:r>
    </w:p>
    <w:p>
      <w:pPr>
        <w:spacing w:after="180" w:before="0"/>
        <w:ind w:left="360"/>
      </w:pPr>
      <w:r>
        <w:rPr>
          <w:rFonts w:ascii="Arial" w:cs="Arial" w:eastAsia="Arial" w:hAnsi="Arial"/>
          <w:i/>
          <w:iCs/>
          <w:color w:val="444444"/>
          <w:sz w:val="24"/>
          <w:szCs w:val="24"/>
        </w:rPr>
        <w:t xml:space="preserve">1.3 AI Transformation in Professional Services</w:t>
      </w:r>
    </w:p>
    <w:p>
      <w:pPr>
        <w:spacing w:after="60" w:before="120"/>
        <w:jc w:val="both"/>
      </w:pPr>
      <w:r>
        <w:rPr>
          <w:rFonts w:ascii="Microsoft YaHei" w:cs="Microsoft YaHei" w:eastAsia="Microsoft YaHei" w:hAnsi="Microsoft YaHei"/>
          <w:b w:val="false"/>
          <w:bCs w:val="false"/>
          <w:color w:val="000000"/>
          <w:sz w:val="24"/>
          <w:szCs w:val="24"/>
        </w:rPr>
        <w:t xml:space="preserve">專業服務領域正經歷AI驅動的根本性變革。CB Insights（2025）指出，AI智能體時代的專業服務公司面臨四大戰略優先事項：重新定義顧問角色、激活專有數據構建更智能的Agent、從「賣人力」轉向「賣成果」、以及建立AI治理框架。麥肯錫已在內部部署約12,000個AI Agent支持顧問工作，實現更精簡的項目團隊。</w:t>
      </w:r>
    </w:p>
    <w:p>
      <w:pPr>
        <w:spacing w:after="180" w:before="0"/>
        <w:jc w:val="both"/>
      </w:pPr>
      <w:r>
        <w:rPr>
          <w:rFonts w:ascii="Arial" w:cs="Arial" w:eastAsia="Arial" w:hAnsi="Arial"/>
          <w:i/>
          <w:iCs/>
          <w:color w:val="444444"/>
          <w:sz w:val="22"/>
          <w:szCs w:val="22"/>
        </w:rPr>
        <w:t xml:space="preserve">Professional services are undergoing fundamental AI-driven transformation. CB Insights (2025) identifies four strategic priorities: redefining the consultant role, activating proprietary data for smarter agents, shifting from 'selling hours' to 'selling outcomes,' and establishing AI governance. McKinsey has deployed ~12,000 AI agents internally, enabling leaner project teams.</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指標 / Metric</w:t>
            </w:r>
          </w:p>
        </w:tc>
        <w:tc>
          <w:tcPr>
            <w:tcW w:type="dxa" w:w="3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數據 / Data</w:t>
            </w:r>
          </w:p>
        </w:tc>
        <w:tc>
          <w:tcPr>
            <w:tcW w:type="dxa" w:w="3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來源 / Source</w:t>
            </w:r>
          </w:p>
        </w:tc>
      </w:tr>
      <w:tr>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生成式AI年價值潛力</w:t>
            </w:r>
          </w:p>
          <w:p>
            <w:pPr>
              <w:spacing w:after="40" w:before="0"/>
              <w:jc w:val="left"/>
            </w:pPr>
            <w:r>
              <w:rPr>
                <w:rFonts w:ascii="Arial" w:cs="Arial" w:eastAsia="Arial" w:hAnsi="Arial"/>
                <w:i/>
                <w:iCs/>
                <w:color w:val="444444"/>
                <w:sz w:val="18"/>
                <w:szCs w:val="18"/>
              </w:rPr>
              <w:t xml:space="preserve">GenAI Annual Value</w:t>
            </w:r>
          </w:p>
        </w:tc>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2.6-4.4萬億美元</w:t>
            </w:r>
          </w:p>
          <w:p>
            <w:pPr>
              <w:spacing w:after="40" w:before="0"/>
              <w:jc w:val="left"/>
            </w:pPr>
            <w:r>
              <w:rPr>
                <w:rFonts w:ascii="Arial" w:cs="Arial" w:eastAsia="Arial" w:hAnsi="Arial"/>
                <w:i/>
                <w:iCs/>
                <w:color w:val="444444"/>
                <w:sz w:val="18"/>
                <w:szCs w:val="18"/>
              </w:rPr>
              <w:t xml:space="preserve">USD 2.6-4.4T</w:t>
            </w:r>
          </w:p>
        </w:tc>
        <w:tc>
          <w:tcPr>
            <w:tcW w:type="dxa" w:w="30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 2024</w:t>
            </w:r>
          </w:p>
        </w:tc>
      </w:tr>
      <w:tr>
        <w:tc>
          <w:tcPr>
            <w:tcW w:type="dxa" w:w="3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可自動化運營活動</w:t>
            </w:r>
          </w:p>
          <w:p>
            <w:pPr>
              <w:spacing w:after="40" w:before="0"/>
              <w:jc w:val="left"/>
            </w:pPr>
            <w:r>
              <w:rPr>
                <w:rFonts w:ascii="Arial" w:cs="Arial" w:eastAsia="Arial" w:hAnsi="Arial"/>
                <w:i/>
                <w:iCs/>
                <w:color w:val="444444"/>
                <w:sz w:val="18"/>
                <w:szCs w:val="18"/>
              </w:rPr>
              <w:t xml:space="preserve">Automatable Operations</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80%</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 2024</w:t>
            </w:r>
          </w:p>
        </w:tc>
      </w:tr>
      <w:tr>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已規模化部署</w:t>
            </w:r>
          </w:p>
          <w:p>
            <w:pPr>
              <w:spacing w:after="40" w:before="0"/>
              <w:jc w:val="left"/>
            </w:pPr>
            <w:r>
              <w:rPr>
                <w:rFonts w:ascii="Arial" w:cs="Arial" w:eastAsia="Arial" w:hAnsi="Arial"/>
                <w:i/>
                <w:iCs/>
                <w:color w:val="444444"/>
                <w:sz w:val="18"/>
                <w:szCs w:val="18"/>
              </w:rPr>
              <w:t xml:space="preserve">Scaled Deployment</w:t>
            </w:r>
          </w:p>
        </w:tc>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僅3%</w:t>
            </w:r>
          </w:p>
          <w:p>
            <w:pPr>
              <w:spacing w:after="40" w:before="0"/>
              <w:jc w:val="left"/>
            </w:pPr>
            <w:r>
              <w:rPr>
                <w:rFonts w:ascii="Arial" w:cs="Arial" w:eastAsia="Arial" w:hAnsi="Arial"/>
                <w:i/>
                <w:iCs/>
                <w:color w:val="444444"/>
                <w:sz w:val="18"/>
                <w:szCs w:val="18"/>
              </w:rPr>
              <w:t xml:space="preserve">Only 3%</w:t>
            </w:r>
          </w:p>
        </w:tc>
        <w:tc>
          <w:tcPr>
            <w:tcW w:type="dxa" w:w="30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 2024</w:t>
            </w:r>
          </w:p>
        </w:tc>
      </w:tr>
      <w:tr>
        <w:tc>
          <w:tcPr>
            <w:tcW w:type="dxa" w:w="3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AI高績效企業</w:t>
            </w:r>
          </w:p>
          <w:p>
            <w:pPr>
              <w:spacing w:after="40" w:before="0"/>
              <w:jc w:val="left"/>
            </w:pPr>
            <w:r>
              <w:rPr>
                <w:rFonts w:ascii="Arial" w:cs="Arial" w:eastAsia="Arial" w:hAnsi="Arial"/>
                <w:i/>
                <w:iCs/>
                <w:color w:val="444444"/>
                <w:sz w:val="18"/>
                <w:szCs w:val="18"/>
              </w:rPr>
              <w:t xml:space="preserve">AI High-Performers</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僅6%</w:t>
            </w:r>
          </w:p>
          <w:p>
            <w:pPr>
              <w:spacing w:after="40" w:before="0"/>
              <w:jc w:val="left"/>
            </w:pPr>
            <w:r>
              <w:rPr>
                <w:rFonts w:ascii="Arial" w:cs="Arial" w:eastAsia="Arial" w:hAnsi="Arial"/>
                <w:i/>
                <w:iCs/>
                <w:color w:val="444444"/>
                <w:sz w:val="18"/>
                <w:szCs w:val="18"/>
              </w:rPr>
              <w:t xml:space="preserve">Only 6%</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 2025</w:t>
            </w:r>
          </w:p>
        </w:tc>
      </w:tr>
      <w:tr>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AEC企業使用AI</w:t>
            </w:r>
          </w:p>
          <w:p>
            <w:pPr>
              <w:spacing w:after="40" w:before="0"/>
              <w:jc w:val="left"/>
            </w:pPr>
            <w:r>
              <w:rPr>
                <w:rFonts w:ascii="Arial" w:cs="Arial" w:eastAsia="Arial" w:hAnsi="Arial"/>
                <w:i/>
                <w:iCs/>
                <w:color w:val="444444"/>
                <w:sz w:val="18"/>
                <w:szCs w:val="18"/>
              </w:rPr>
              <w:t xml:space="preserve">AEC Firms Using AI</w:t>
            </w:r>
          </w:p>
        </w:tc>
        <w:tc>
          <w:tcPr>
            <w:tcW w:type="dxa" w:w="30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27%</w:t>
            </w:r>
          </w:p>
        </w:tc>
        <w:tc>
          <w:tcPr>
            <w:tcW w:type="dxa" w:w="30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Bluebeam, 2026</w:t>
            </w:r>
          </w:p>
        </w:tc>
      </w:tr>
      <w:tr>
        <w:tc>
          <w:tcPr>
            <w:tcW w:type="dxa" w:w="3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AI可降低建築成本</w:t>
            </w:r>
          </w:p>
          <w:p>
            <w:pPr>
              <w:spacing w:after="40" w:before="0"/>
              <w:jc w:val="left"/>
            </w:pPr>
            <w:r>
              <w:rPr>
                <w:rFonts w:ascii="Arial" w:cs="Arial" w:eastAsia="Arial" w:hAnsi="Arial"/>
                <w:i/>
                <w:iCs/>
                <w:color w:val="444444"/>
                <w:sz w:val="18"/>
                <w:szCs w:val="18"/>
              </w:rPr>
              <w:t xml:space="preserve">AI Cost Reduction</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高達20%</w:t>
            </w:r>
          </w:p>
          <w:p>
            <w:pPr>
              <w:spacing w:after="40" w:before="0"/>
              <w:jc w:val="left"/>
            </w:pPr>
            <w:r>
              <w:rPr>
                <w:rFonts w:ascii="Arial" w:cs="Arial" w:eastAsia="Arial" w:hAnsi="Arial"/>
                <w:i/>
                <w:iCs/>
                <w:color w:val="444444"/>
                <w:sz w:val="18"/>
                <w:szCs w:val="18"/>
              </w:rPr>
              <w:t xml:space="preserve">Up to 20%</w:t>
            </w:r>
          </w:p>
        </w:tc>
        <w:tc>
          <w:tcPr>
            <w:tcW w:type="dxa" w:w="30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w:t>
            </w:r>
          </w:p>
        </w:tc>
      </w:tr>
      <w:tr>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AI可縮短工期</w:t>
            </w:r>
          </w:p>
          <w:p>
            <w:pPr>
              <w:spacing w:after="40" w:before="0"/>
              <w:jc w:val="left"/>
            </w:pPr>
            <w:r>
              <w:rPr>
                <w:rFonts w:ascii="Arial" w:cs="Arial" w:eastAsia="Arial" w:hAnsi="Arial"/>
                <w:i/>
                <w:iCs/>
                <w:color w:val="444444"/>
                <w:sz w:val="18"/>
                <w:szCs w:val="18"/>
              </w:rPr>
              <w:t xml:space="preserve">AI Schedule Reduction</w:t>
            </w:r>
          </w:p>
        </w:tc>
        <w:tc>
          <w:tcPr>
            <w:tcW w:type="dxa" w:w="3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高達30%</w:t>
            </w:r>
          </w:p>
          <w:p>
            <w:pPr>
              <w:spacing w:after="40" w:before="0"/>
              <w:jc w:val="left"/>
            </w:pPr>
            <w:r>
              <w:rPr>
                <w:rFonts w:ascii="Arial" w:cs="Arial" w:eastAsia="Arial" w:hAnsi="Arial"/>
                <w:i/>
                <w:iCs/>
                <w:color w:val="444444"/>
                <w:sz w:val="18"/>
                <w:szCs w:val="18"/>
              </w:rPr>
              <w:t xml:space="preserve">Up to 30%</w:t>
            </w:r>
          </w:p>
        </w:tc>
        <w:tc>
          <w:tcPr>
            <w:tcW w:type="dxa" w:w="30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McKinsey</w:t>
            </w:r>
          </w:p>
        </w:tc>
      </w:tr>
    </w:tbl>
    <w:p>
      <w:r>
        <w:br w:type="page"/>
      </w:r>
    </w:p>
    <w:p>
      <w:pPr>
        <w:pStyle w:val="Heading1"/>
        <w:spacing w:after="60" w:before="360"/>
      </w:pPr>
      <w:r>
        <w:rPr>
          <w:rFonts w:ascii="Microsoft YaHei" w:cs="Microsoft YaHei" w:eastAsia="Microsoft YaHei" w:hAnsi="Microsoft YaHei"/>
          <w:b/>
          <w:bCs/>
          <w:color w:val="000000"/>
          <w:sz w:val="36"/>
          <w:szCs w:val="36"/>
        </w:rPr>
        <w:t xml:space="preserve">第二章：混合人機智能（HHAI）理念</w:t>
      </w:r>
    </w:p>
    <w:p>
      <w:pPr>
        <w:spacing w:after="240" w:before="0"/>
        <w:ind w:left="0"/>
      </w:pPr>
      <w:r>
        <w:rPr>
          <w:rFonts w:ascii="Arial" w:cs="Arial" w:eastAsia="Arial" w:hAnsi="Arial"/>
          <w:i/>
          <w:iCs/>
          <w:color w:val="444444"/>
          <w:sz w:val="28"/>
          <w:szCs w:val="28"/>
        </w:rPr>
        <w:t xml:space="preserve">Chapter 2: The HHAI Philosophy</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核心觀點：HHAI不是替代論也不是賦能論，而是認知共生論——人讓AI聰明，AI讓人聰明，雙方共同進化。</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HHAI is neither replacement nor empowerment, but cognitive symbiosis — humans make AI smarter, AI makes humans smarter, co-evolving together.</w:t>
      </w:r>
    </w:p>
    <w:p>
      <w:pPr>
        <w:pStyle w:val="Heading2"/>
        <w:spacing w:after="60" w:before="240"/>
      </w:pPr>
      <w:r>
        <w:rPr>
          <w:rFonts w:ascii="Microsoft YaHei" w:cs="Microsoft YaHei" w:eastAsia="Microsoft YaHei" w:hAnsi="Microsoft YaHei"/>
          <w:b/>
          <w:bCs/>
          <w:color w:val="000000"/>
          <w:sz w:val="30"/>
          <w:szCs w:val="30"/>
        </w:rPr>
        <w:t xml:space="preserve">2.1 超越替代論與賦能論：為什麼是共生</w:t>
      </w:r>
    </w:p>
    <w:p>
      <w:pPr>
        <w:spacing w:after="180" w:before="0"/>
        <w:ind w:left="360"/>
      </w:pPr>
      <w:r>
        <w:rPr>
          <w:rFonts w:ascii="Arial" w:cs="Arial" w:eastAsia="Arial" w:hAnsi="Arial"/>
          <w:i/>
          <w:iCs/>
          <w:color w:val="444444"/>
          <w:sz w:val="24"/>
          <w:szCs w:val="24"/>
        </w:rPr>
        <w:t xml:space="preserve">2.1 Beyond Replacement and Empowerment: Why Symbiosis</w:t>
      </w:r>
    </w:p>
    <w:p>
      <w:pPr>
        <w:spacing w:after="60" w:before="120"/>
        <w:jc w:val="both"/>
      </w:pPr>
      <w:r>
        <w:rPr>
          <w:rFonts w:ascii="Microsoft YaHei" w:cs="Microsoft YaHei" w:eastAsia="Microsoft YaHei" w:hAnsi="Microsoft YaHei"/>
          <w:b w:val="false"/>
          <w:bCs w:val="false"/>
          <w:color w:val="000000"/>
          <w:sz w:val="24"/>
          <w:szCs w:val="24"/>
        </w:rPr>
        <w:t xml:space="preserve">關於AI與人類工作關係的討論，長期被兩個對立陣營主導。「替代論」認為AI將全面取代人類工作；「賦能論」認為AI只是增強人類能力的工具。兩種觀點各有洞見，也各有盲區。HHAI提出第三條路徑：「認知共生」——其生物學隱喻是菌根共生（Mycorrhizal Symbiosis）：真菌與植物根系形成互利網絡，二者不是替代關係，而是在持續的物質與信息交換中共同進化。</w:t>
      </w:r>
    </w:p>
    <w:p>
      <w:pPr>
        <w:spacing w:after="180" w:before="0"/>
        <w:jc w:val="both"/>
      </w:pPr>
      <w:r>
        <w:rPr>
          <w:rFonts w:ascii="Arial" w:cs="Arial" w:eastAsia="Arial" w:hAnsi="Arial"/>
          <w:i/>
          <w:iCs/>
          <w:color w:val="444444"/>
          <w:sz w:val="22"/>
          <w:szCs w:val="22"/>
        </w:rPr>
        <w:t xml:space="preserve">Discourse on AI-human work relations has long been dominated by two opposing camps. 'Replacement theorists' argue AI will comprehensively replace human work; 'empowerment theorists' contend AI merely enhances capabilities. Both have insights and blind spots. HHAI proposes a third path: 'cognitive symbiosis' — its biological metaphor is mycorrhizal symbiosis: fungi and plant roots form mutualistic networks, co-evolving through continuous exchange of matter and information.</w:t>
      </w:r>
    </w:p>
    <w:p>
      <w:pPr>
        <w:spacing w:after="60" w:before="120"/>
        <w:jc w:val="both"/>
      </w:pPr>
      <w:r>
        <w:rPr>
          <w:rFonts w:ascii="Microsoft YaHei" w:cs="Microsoft YaHei" w:eastAsia="Microsoft YaHei" w:hAnsi="Microsoft YaHei"/>
          <w:b w:val="false"/>
          <w:bCs w:val="false"/>
          <w:color w:val="000000"/>
          <w:sz w:val="24"/>
          <w:szCs w:val="24"/>
        </w:rPr>
        <w:t xml:space="preserve">在HHAI框架下，AI為人類提供數據處理速度、模式識別能力、一致性和可擴展性；人類為AI提供價值判斷、創造性思維、倫理推理和情境理解。更重要的是，雙方在持續互動中都在「成長」——AI通過人類反饋不斷優化，人類通過AI協作擴展認知邊界。</w:t>
      </w:r>
    </w:p>
    <w:p>
      <w:pPr>
        <w:spacing w:after="180" w:before="0"/>
        <w:jc w:val="both"/>
      </w:pPr>
      <w:r>
        <w:rPr>
          <w:rFonts w:ascii="Arial" w:cs="Arial" w:eastAsia="Arial" w:hAnsi="Arial"/>
          <w:i/>
          <w:iCs/>
          <w:color w:val="444444"/>
          <w:sz w:val="22"/>
          <w:szCs w:val="22"/>
        </w:rPr>
        <w:t xml:space="preserve">Under HHAI, AI provides humans with data processing speed, pattern recognition, consistency, and scalability; humans provide AI with value judgment, creative thinking, ethical reasoning, and contextual understanding. More importantly, both parties 'grow' through continuous interaction — AI optimizes through human feedback, humans expand cognitive boundaries through AI collaboration.</w:t>
      </w:r>
    </w:p>
    <w:p>
      <w:pPr>
        <w:pStyle w:val="Heading2"/>
        <w:spacing w:after="60" w:before="240"/>
      </w:pPr>
      <w:r>
        <w:rPr>
          <w:rFonts w:ascii="Microsoft YaHei" w:cs="Microsoft YaHei" w:eastAsia="Microsoft YaHei" w:hAnsi="Microsoft YaHei"/>
          <w:b/>
          <w:bCs/>
          <w:color w:val="000000"/>
          <w:sz w:val="30"/>
          <w:szCs w:val="30"/>
        </w:rPr>
        <w:t xml:space="preserve">2.2 HHAI的理論基礎</w:t>
      </w:r>
    </w:p>
    <w:p>
      <w:pPr>
        <w:spacing w:after="180" w:before="0"/>
        <w:ind w:left="360"/>
      </w:pPr>
      <w:r>
        <w:rPr>
          <w:rFonts w:ascii="Arial" w:cs="Arial" w:eastAsia="Arial" w:hAnsi="Arial"/>
          <w:i/>
          <w:iCs/>
          <w:color w:val="444444"/>
          <w:sz w:val="24"/>
          <w:szCs w:val="24"/>
        </w:rPr>
        <w:t xml:space="preserve">2.2 Theoretical Foundations of HHAI</w:t>
      </w:r>
    </w:p>
    <w:p>
      <w:pPr>
        <w:spacing w:after="60" w:before="120"/>
        <w:jc w:val="both"/>
      </w:pPr>
      <w:r>
        <w:rPr>
          <w:rFonts w:ascii="Microsoft YaHei" w:cs="Microsoft YaHei" w:eastAsia="Microsoft YaHei" w:hAnsi="Microsoft YaHei"/>
          <w:b w:val="false"/>
          <w:bCs w:val="false"/>
          <w:color w:val="000000"/>
          <w:sz w:val="24"/>
          <w:szCs w:val="24"/>
        </w:rPr>
        <w:t xml:space="preserve">HHAI理念建立在三大認知科學理論的交叉基礎上，分別從不同維度揭示了人類認知的本質與局限。</w:t>
      </w:r>
    </w:p>
    <w:p>
      <w:pPr>
        <w:spacing w:after="180" w:before="0"/>
        <w:jc w:val="both"/>
      </w:pPr>
      <w:r>
        <w:rPr>
          <w:rFonts w:ascii="Arial" w:cs="Arial" w:eastAsia="Arial" w:hAnsi="Arial"/>
          <w:i/>
          <w:iCs/>
          <w:color w:val="444444"/>
          <w:sz w:val="22"/>
          <w:szCs w:val="22"/>
        </w:rPr>
        <w:t xml:space="preserve">The HHAI philosophy is built upon three major cognitive science theories, each revealing the nature and limits of human cognition from different dimensions.</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600"/>
        <w:gridCol w:w="2800"/>
        <w:gridCol w:w="2800"/>
      </w:tblGrid>
      <w:tr>
        <w:trPr>
          <w:tblHeader/>
        </w:trPr>
        <w:tc>
          <w:tcPr>
            <w:tcW w:type="dxa" w:w="1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理論 / Theory</w:t>
            </w:r>
          </w:p>
        </w:tc>
        <w:tc>
          <w:tcPr>
            <w:tcW w:type="dxa" w:w="1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提出者 / Author</w:t>
            </w:r>
          </w:p>
        </w:tc>
        <w:tc>
          <w:tcPr>
            <w:tcW w:type="dxa" w:w="2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核心主張 / Core Proposition</w:t>
            </w:r>
          </w:p>
        </w:tc>
        <w:tc>
          <w:tcPr>
            <w:tcW w:type="dxa" w:w="2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對HHAI的啟示 / Implication</w:t>
            </w:r>
          </w:p>
        </w:tc>
      </w:tr>
      <w:tr>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有限理性</w:t>
            </w:r>
          </w:p>
          <w:p>
            <w:pPr>
              <w:spacing w:after="40" w:before="0"/>
              <w:jc w:val="left"/>
            </w:pPr>
            <w:r>
              <w:rPr>
                <w:rFonts w:ascii="Arial" w:cs="Arial" w:eastAsia="Arial" w:hAnsi="Arial"/>
                <w:i/>
                <w:iCs/>
                <w:color w:val="444444"/>
                <w:sz w:val="18"/>
                <w:szCs w:val="18"/>
              </w:rPr>
              <w:t xml:space="preserve">Bounded Rationality</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Herbert Simon</w:t>
            </w:r>
          </w:p>
          <w:p>
            <w:pPr>
              <w:spacing w:after="40" w:before="0"/>
              <w:jc w:val="left"/>
            </w:pPr>
            <w:r>
              <w:rPr>
                <w:rFonts w:ascii="Arial" w:cs="Arial" w:eastAsia="Arial" w:hAnsi="Arial"/>
                <w:i/>
                <w:iCs/>
                <w:color w:val="444444"/>
                <w:sz w:val="18"/>
                <w:szCs w:val="18"/>
              </w:rPr>
              <w:t xml:space="preserve">(1978 Nobel)</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決策者受認知限制，只能「滿意化」而非「最優化」</w:t>
            </w:r>
          </w:p>
          <w:p>
            <w:pPr>
              <w:spacing w:after="40" w:before="0"/>
              <w:jc w:val="left"/>
            </w:pPr>
            <w:r>
              <w:rPr>
                <w:rFonts w:ascii="Arial" w:cs="Arial" w:eastAsia="Arial" w:hAnsi="Arial"/>
                <w:i/>
                <w:iCs/>
                <w:color w:val="444444"/>
                <w:sz w:val="18"/>
                <w:szCs w:val="18"/>
              </w:rPr>
              <w:t xml:space="preserve">Decision-makers 'satisfice' under constraints</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AI擴展理性邊界，使「近似最優化」成為可能</w:t>
            </w:r>
          </w:p>
          <w:p>
            <w:pPr>
              <w:spacing w:after="40" w:before="0"/>
              <w:jc w:val="left"/>
            </w:pPr>
            <w:r>
              <w:rPr>
                <w:rFonts w:ascii="Arial" w:cs="Arial" w:eastAsia="Arial" w:hAnsi="Arial"/>
                <w:i/>
                <w:iCs/>
                <w:color w:val="444444"/>
                <w:sz w:val="18"/>
                <w:szCs w:val="18"/>
              </w:rPr>
              <w:t xml:space="preserve">AI extends rationality, enabling near-optimization</w:t>
            </w:r>
          </w:p>
        </w:tc>
      </w:tr>
      <w:tr>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雙系統理論</w:t>
            </w:r>
          </w:p>
          <w:p>
            <w:pPr>
              <w:spacing w:after="40" w:before="0"/>
              <w:jc w:val="left"/>
            </w:pPr>
            <w:r>
              <w:rPr>
                <w:rFonts w:ascii="Arial" w:cs="Arial" w:eastAsia="Arial" w:hAnsi="Arial"/>
                <w:i/>
                <w:iCs/>
                <w:color w:val="444444"/>
                <w:sz w:val="18"/>
                <w:szCs w:val="18"/>
              </w:rPr>
              <w:t xml:space="preserve">Dual-Process</w:t>
            </w:r>
          </w:p>
        </w:tc>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Daniel Kahneman</w:t>
            </w:r>
          </w:p>
          <w:p>
            <w:pPr>
              <w:spacing w:after="40" w:before="0"/>
              <w:jc w:val="left"/>
            </w:pPr>
            <w:r>
              <w:rPr>
                <w:rFonts w:ascii="Arial" w:cs="Arial" w:eastAsia="Arial" w:hAnsi="Arial"/>
                <w:i/>
                <w:iCs/>
                <w:color w:val="444444"/>
                <w:sz w:val="18"/>
                <w:szCs w:val="18"/>
              </w:rPr>
              <w:t xml:space="preserve">(2002 Nobel)</w:t>
            </w:r>
          </w:p>
        </w:tc>
        <w:tc>
          <w:tcPr>
            <w:tcW w:type="dxa" w:w="2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System 1（快思考）與System 2（慢思考）</w:t>
            </w:r>
          </w:p>
          <w:p>
            <w:pPr>
              <w:spacing w:after="40" w:before="0"/>
              <w:jc w:val="left"/>
            </w:pPr>
            <w:r>
              <w:rPr>
                <w:rFonts w:ascii="Arial" w:cs="Arial" w:eastAsia="Arial" w:hAnsi="Arial"/>
                <w:i/>
                <w:iCs/>
                <w:color w:val="444444"/>
                <w:sz w:val="18"/>
                <w:szCs w:val="18"/>
              </w:rPr>
              <w:t xml:space="preserve">System 1 (fast) + System 2 (slow)</w:t>
            </w:r>
          </w:p>
        </w:tc>
        <w:tc>
          <w:tcPr>
            <w:tcW w:type="dxa" w:w="2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AI應像人腦一樣在快/慢思考間彈性切換</w:t>
            </w:r>
          </w:p>
          <w:p>
            <w:pPr>
              <w:spacing w:after="40" w:before="0"/>
              <w:jc w:val="left"/>
            </w:pPr>
            <w:r>
              <w:rPr>
                <w:rFonts w:ascii="Arial" w:cs="Arial" w:eastAsia="Arial" w:hAnsi="Arial"/>
                <w:i/>
                <w:iCs/>
                <w:color w:val="444444"/>
                <w:sz w:val="18"/>
                <w:szCs w:val="18"/>
              </w:rPr>
              <w:t xml:space="preserve">AI should flexibly switch fast/slow like the brain</w:t>
            </w:r>
          </w:p>
        </w:tc>
      </w:tr>
      <w:tr>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三系統理論</w:t>
            </w:r>
          </w:p>
          <w:p>
            <w:pPr>
              <w:spacing w:after="40" w:before="0"/>
              <w:jc w:val="left"/>
            </w:pPr>
            <w:r>
              <w:rPr>
                <w:rFonts w:ascii="Arial" w:cs="Arial" w:eastAsia="Arial" w:hAnsi="Arial"/>
                <w:i/>
                <w:iCs/>
                <w:color w:val="444444"/>
                <w:sz w:val="18"/>
                <w:szCs w:val="18"/>
              </w:rPr>
              <w:t xml:space="preserve">Tri-System</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Shaw &amp; Nave</w:t>
            </w:r>
          </w:p>
          <w:p>
            <w:pPr>
              <w:spacing w:after="40" w:before="0"/>
              <w:jc w:val="left"/>
            </w:pPr>
            <w:r>
              <w:rPr>
                <w:rFonts w:ascii="Arial" w:cs="Arial" w:eastAsia="Arial" w:hAnsi="Arial"/>
                <w:i/>
                <w:iCs/>
                <w:color w:val="444444"/>
                <w:sz w:val="18"/>
                <w:szCs w:val="18"/>
              </w:rPr>
              <w:t xml:space="preserve">(2026)</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AI為System 3——外部、自動、數據驅動的認知系統</w:t>
            </w:r>
          </w:p>
          <w:p>
            <w:pPr>
              <w:spacing w:after="40" w:before="0"/>
              <w:jc w:val="left"/>
            </w:pPr>
            <w:r>
              <w:rPr>
                <w:rFonts w:ascii="Arial" w:cs="Arial" w:eastAsia="Arial" w:hAnsi="Arial"/>
                <w:i/>
                <w:iCs/>
                <w:color w:val="444444"/>
                <w:sz w:val="18"/>
                <w:szCs w:val="18"/>
              </w:rPr>
              <w:t xml:space="preserve">AI as System 3 — external, automated, data-driven</w:t>
            </w:r>
          </w:p>
        </w:tc>
        <w:tc>
          <w:tcPr>
            <w:tcW w:type="dxa" w:w="2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保持「認知卸載」而非「認知投降」</w:t>
            </w:r>
          </w:p>
          <w:p>
            <w:pPr>
              <w:spacing w:after="40" w:before="0"/>
              <w:jc w:val="left"/>
            </w:pPr>
            <w:r>
              <w:rPr>
                <w:rFonts w:ascii="Arial" w:cs="Arial" w:eastAsia="Arial" w:hAnsi="Arial"/>
                <w:i/>
                <w:iCs/>
                <w:color w:val="444444"/>
                <w:sz w:val="18"/>
                <w:szCs w:val="18"/>
              </w:rPr>
              <w:t xml:space="preserve">Maintain 'offloading,' not 'surrender'</w:t>
            </w:r>
          </w:p>
        </w:tc>
      </w:tr>
    </w:tbl>
    <w:p>
      <w:pPr>
        <w:spacing w:after="0" w:before="100"/>
      </w:pPr>
    </w:p>
    <w:p>
      <w:pPr>
        <w:spacing w:after="60" w:before="120"/>
        <w:jc w:val="both"/>
      </w:pPr>
      <w:r>
        <w:rPr>
          <w:rFonts w:ascii="Microsoft YaHei" w:cs="Microsoft YaHei" w:eastAsia="Microsoft YaHei" w:hAnsi="Microsoft YaHei"/>
          <w:b w:val="false"/>
          <w:bCs w:val="false"/>
          <w:color w:val="000000"/>
          <w:sz w:val="24"/>
          <w:szCs w:val="24"/>
        </w:rPr>
        <w:t xml:space="preserve">Shaw與Nave（2026）的實驗數據為這一框架提供了微觀層面的支持：當AI正確時，人類準確率從46%升至71%（+25pp）；當AI錯誤時降至31%（-15pp）。對AI信任度每增一個標準差，抵抗錯誤AI的比率降低64%。這意味著在L3-L5層級，必須設計機制保持人類批判性參與——如強制解釋審查和認知強制技術。</w:t>
      </w:r>
    </w:p>
    <w:p>
      <w:pPr>
        <w:spacing w:after="180" w:before="0"/>
        <w:jc w:val="both"/>
      </w:pPr>
      <w:r>
        <w:rPr>
          <w:rFonts w:ascii="Arial" w:cs="Arial" w:eastAsia="Arial" w:hAnsi="Arial"/>
          <w:i/>
          <w:iCs/>
          <w:color w:val="444444"/>
          <w:sz w:val="22"/>
          <w:szCs w:val="22"/>
        </w:rPr>
        <w:t xml:space="preserve">Shaw &amp; Nave's (2026) experimental data provides micro-level support: when AI is correct, accuracy rises 46%→71% (+25pp); when wrong, drops to 31% (-15pp). Each SD increase in AI trust reduces resistance to wrong AI by 64%. At L3-L5, mechanisms must maintain human critical engagement — such as mandatory explanation review and cognitive forcing techniques.</w:t>
      </w:r>
    </w:p>
    <w:p>
      <w:pPr>
        <w:pStyle w:val="Heading2"/>
        <w:spacing w:after="60" w:before="240"/>
      </w:pPr>
      <w:r>
        <w:rPr>
          <w:rFonts w:ascii="Microsoft YaHei" w:cs="Microsoft YaHei" w:eastAsia="Microsoft YaHei" w:hAnsi="Microsoft YaHei"/>
          <w:b/>
          <w:bCs/>
          <w:color w:val="000000"/>
          <w:sz w:val="30"/>
          <w:szCs w:val="30"/>
        </w:rPr>
        <w:t xml:space="preserve">2.3 人讓AI聰明，AI讓人聰明</w:t>
      </w:r>
    </w:p>
    <w:p>
      <w:pPr>
        <w:spacing w:after="180" w:before="0"/>
        <w:ind w:left="360"/>
      </w:pPr>
      <w:r>
        <w:rPr>
          <w:rFonts w:ascii="Arial" w:cs="Arial" w:eastAsia="Arial" w:hAnsi="Arial"/>
          <w:i/>
          <w:iCs/>
          <w:color w:val="444444"/>
          <w:sz w:val="24"/>
          <w:szCs w:val="24"/>
        </w:rPr>
        <w:t xml:space="preserve">2.3 Humans Make AI Smarter, AI Makes Humans Smarter</w:t>
      </w:r>
    </w:p>
    <w:p>
      <w:pPr>
        <w:spacing w:after="60" w:before="120"/>
        <w:jc w:val="both"/>
      </w:pPr>
      <w:r>
        <w:rPr>
          <w:rFonts w:ascii="Microsoft YaHei" w:cs="Microsoft YaHei" w:eastAsia="Microsoft YaHei" w:hAnsi="Microsoft YaHei"/>
          <w:b w:val="false"/>
          <w:bCs w:val="false"/>
          <w:color w:val="000000"/>
          <w:sz w:val="24"/>
          <w:szCs w:val="24"/>
        </w:rPr>
        <w:t xml:space="preserve">HHAI的共生關係是雙向的。一方面，AI使決策者「更聰明」：Brynjolfsson等（2023）顯示AI助手使客戶支持效率提升14%，低技能員工提升高達34%——AI不僅是專家的工具，更是新手的能力均衡器。另一方面，人類使AI「更聰明」：通過即時糾偏（糾正反饋納入訓練數據）、價值對齊（定義什麼是「好的」決策）和邊界擴展（新業務邏輯注入），人類不斷提升AI的決策品質。</w:t>
      </w:r>
    </w:p>
    <w:p>
      <w:pPr>
        <w:spacing w:after="180" w:before="0"/>
        <w:jc w:val="both"/>
      </w:pPr>
      <w:r>
        <w:rPr>
          <w:rFonts w:ascii="Arial" w:cs="Arial" w:eastAsia="Arial" w:hAnsi="Arial"/>
          <w:i/>
          <w:iCs/>
          <w:color w:val="444444"/>
          <w:sz w:val="22"/>
          <w:szCs w:val="22"/>
        </w:rPr>
        <w:t xml:space="preserve">HHAI's symbiosis is bidirectional. On one hand, AI makes decision-makers 'smarter': Brynjolfsson et al. (2023) show AI assistants improved support efficiency by 14%, low-skilled workers by up to 34% — AI is a capability equalizer. On the other hand, humans make AI 'smarter' through real-time correction (feedback incorporated into training), value alignment (defining 'good' decisions), and boundary expansion (injecting new business logic).</w:t>
      </w:r>
    </w:p>
    <w:p>
      <w:pPr>
        <w:pStyle w:val="Heading2"/>
        <w:spacing w:after="60" w:before="240"/>
      </w:pPr>
      <w:r>
        <w:rPr>
          <w:rFonts w:ascii="Microsoft YaHei" w:cs="Microsoft YaHei" w:eastAsia="Microsoft YaHei" w:hAnsi="Microsoft YaHei"/>
          <w:b/>
          <w:bCs/>
          <w:color w:val="000000"/>
          <w:sz w:val="30"/>
          <w:szCs w:val="30"/>
        </w:rPr>
        <w:t xml:space="preserve">2.4 從「滿意化」到「近似最優化」</w:t>
      </w:r>
    </w:p>
    <w:p>
      <w:pPr>
        <w:spacing w:after="180" w:before="0"/>
        <w:ind w:left="360"/>
      </w:pPr>
      <w:r>
        <w:rPr>
          <w:rFonts w:ascii="Arial" w:cs="Arial" w:eastAsia="Arial" w:hAnsi="Arial"/>
          <w:i/>
          <w:iCs/>
          <w:color w:val="444444"/>
          <w:sz w:val="24"/>
          <w:szCs w:val="24"/>
        </w:rPr>
        <w:t xml:space="preserve">2.4 From Satisficing to Near-Optimization</w:t>
      </w:r>
    </w:p>
    <w:p>
      <w:pPr>
        <w:spacing w:after="60" w:before="120"/>
        <w:jc w:val="both"/>
      </w:pPr>
      <w:r>
        <w:rPr>
          <w:rFonts w:ascii="Microsoft YaHei" w:cs="Microsoft YaHei" w:eastAsia="Microsoft YaHei" w:hAnsi="Microsoft YaHei"/>
          <w:b w:val="false"/>
          <w:bCs w:val="false"/>
          <w:color w:val="000000"/>
          <w:sz w:val="24"/>
          <w:szCs w:val="24"/>
        </w:rPr>
        <w:t xml:space="preserve">Simon指出人類決策者因認知限制只能「滿意化」。HHAI主張：通過人機協作，決策品質可從「滿意化」提升至「近似最優化」——不是數學上的絕對最優，而是將「夠好」的標準拉到接近最優。實證支持此主張：DDDM企業生產力高出5-6%（Brynjolfsson et al., 2011）；AI輔助低技能員工提升34%（2023）；建築AI降低成本20%、縮短工期30%（McKinsey）。這些數字共同指向：人機協作正系統性地抬高決策品質的「地板」。</w:t>
      </w:r>
    </w:p>
    <w:p>
      <w:pPr>
        <w:spacing w:after="180" w:before="0"/>
        <w:jc w:val="both"/>
      </w:pPr>
      <w:r>
        <w:rPr>
          <w:rFonts w:ascii="Arial" w:cs="Arial" w:eastAsia="Arial" w:hAnsi="Arial"/>
          <w:i/>
          <w:iCs/>
          <w:color w:val="444444"/>
          <w:sz w:val="22"/>
          <w:szCs w:val="22"/>
        </w:rPr>
        <w:t xml:space="preserve">Simon noted humans 'satisfice' due to cognitive limits. HHAI proposes: through human-AI collaboration, decision quality can rise from 'satisficing' to 'near-optimization.' Evidence: DDDM firms outperform by 5-6% (Brynjolfsson et al., 2011); AI-assisted low-skilled workers improve 34% (2023); construction AI cuts costs 20%, schedules 30% (McKinsey). These figures show: human-AI collaboration systematically raises the 'floor' of decision quality.</w:t>
      </w:r>
    </w:p>
    <w:p>
      <w:r>
        <w:br w:type="page"/>
      </w:r>
    </w:p>
    <w:p>
      <w:pPr>
        <w:pStyle w:val="Heading1"/>
        <w:spacing w:after="60" w:before="360"/>
      </w:pPr>
      <w:r>
        <w:rPr>
          <w:rFonts w:ascii="Microsoft YaHei" w:cs="Microsoft YaHei" w:eastAsia="Microsoft YaHei" w:hAnsi="Microsoft YaHei"/>
          <w:b/>
          <w:bCs/>
          <w:color w:val="000000"/>
          <w:sz w:val="36"/>
          <w:szCs w:val="36"/>
        </w:rPr>
        <w:t xml:space="preserve">第三章：決策模型的革命</w:t>
      </w:r>
    </w:p>
    <w:p>
      <w:pPr>
        <w:spacing w:after="240" w:before="0"/>
        <w:ind w:left="0"/>
      </w:pPr>
      <w:r>
        <w:rPr>
          <w:rFonts w:ascii="Arial" w:cs="Arial" w:eastAsia="Arial" w:hAnsi="Arial"/>
          <w:i/>
          <w:iCs/>
          <w:color w:val="444444"/>
          <w:sz w:val="28"/>
          <w:szCs w:val="28"/>
        </w:rPr>
        <w:t xml:space="preserve">Chapter 3: Revolution in Decision-Making Models</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核心觀點：決策模型正從Simon的四階段線性流程，演變為五層決策分類與六級自動化框架定義的人機深度協作新範式。</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Decision models evolve from Simon's four-stage linear process to a new paradigm defined by the Five-Layer Decision Classification and Six-Level Automation Framework.</w:t>
      </w:r>
    </w:p>
    <w:p>
      <w:pPr>
        <w:pStyle w:val="Heading2"/>
        <w:spacing w:after="60" w:before="240"/>
      </w:pPr>
      <w:r>
        <w:rPr>
          <w:rFonts w:ascii="Microsoft YaHei" w:cs="Microsoft YaHei" w:eastAsia="Microsoft YaHei" w:hAnsi="Microsoft YaHei"/>
          <w:b/>
          <w:bCs/>
          <w:color w:val="000000"/>
          <w:sz w:val="30"/>
          <w:szCs w:val="30"/>
        </w:rPr>
        <w:t xml:space="preserve">3.1 傳統管理決策模型</w:t>
      </w:r>
    </w:p>
    <w:p>
      <w:pPr>
        <w:spacing w:after="180" w:before="0"/>
        <w:ind w:left="360"/>
      </w:pPr>
      <w:r>
        <w:rPr>
          <w:rFonts w:ascii="Arial" w:cs="Arial" w:eastAsia="Arial" w:hAnsi="Arial"/>
          <w:i/>
          <w:iCs/>
          <w:color w:val="444444"/>
          <w:sz w:val="24"/>
          <w:szCs w:val="24"/>
        </w:rPr>
        <w:t xml:space="preserve">3.1 Traditional Management Decision Models</w:t>
      </w:r>
    </w:p>
    <w:p>
      <w:pPr>
        <w:spacing w:after="60" w:before="120"/>
        <w:jc w:val="both"/>
      </w:pPr>
      <w:r>
        <w:rPr>
          <w:rFonts w:ascii="Microsoft YaHei" w:cs="Microsoft YaHei" w:eastAsia="Microsoft YaHei" w:hAnsi="Microsoft YaHei"/>
          <w:b w:val="false"/>
          <w:bCs w:val="false"/>
          <w:color w:val="000000"/>
          <w:sz w:val="24"/>
          <w:szCs w:val="24"/>
        </w:rPr>
        <w:t xml:space="preserve">Simon在1960年提出的情報—設計—抉擇—評審（IDCR）四階段模型，揭示了決策不是瞬間判斷而是有結構的過程。在情報階段收集資訊、界定問題；設計階段生成和評估備選方案；抉擇階段做出最終選擇；評審階段從結果中學習。Simon還將決策分為程式化決策（可規則化、適合自動化）和非程式化決策（新穎、需要判斷力），為AI角色定位提供了基礎框架。</w:t>
      </w:r>
    </w:p>
    <w:p>
      <w:pPr>
        <w:spacing w:after="180" w:before="0"/>
        <w:jc w:val="both"/>
      </w:pPr>
      <w:r>
        <w:rPr>
          <w:rFonts w:ascii="Arial" w:cs="Arial" w:eastAsia="Arial" w:hAnsi="Arial"/>
          <w:i/>
          <w:iCs/>
          <w:color w:val="444444"/>
          <w:sz w:val="22"/>
          <w:szCs w:val="22"/>
        </w:rPr>
        <w:t xml:space="preserve">Simon's 1960 IDCR (Intelligence-Design-Choice-Review) four-stage model revealed decisions are structured processes. Intelligence: gather info, define problem. Design: generate and evaluate alternatives. Choice: make final selection. Review: learn from outcomes. Simon also classified decisions into programmed (rule-based, automatable) and non-programmed (novel, requiring judgment), providing a foundational framework for AI role positioning.</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600"/>
        <w:gridCol w:w="2400"/>
        <w:gridCol w:w="2400"/>
        <w:gridCol w:w="2600"/>
      </w:tblGrid>
      <w:tr>
        <w:trPr>
          <w:tblHeader/>
        </w:trPr>
        <w:tc>
          <w:tcPr>
            <w:tcW w:type="dxa" w:w="1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階段 / Phase</w:t>
            </w:r>
          </w:p>
        </w:tc>
        <w:tc>
          <w:tcPr>
            <w:tcW w:type="dxa" w:w="2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傳統模式 / Traditional</w:t>
            </w:r>
          </w:p>
        </w:tc>
        <w:tc>
          <w:tcPr>
            <w:tcW w:type="dxa" w:w="2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AI增強模式 / AI-Enhanced</w:t>
            </w:r>
          </w:p>
        </w:tc>
        <w:tc>
          <w:tcPr>
            <w:tcW w:type="dxa" w:w="2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HHAI共生模式 / HHAI Symbiotic</w:t>
            </w:r>
          </w:p>
        </w:tc>
      </w:tr>
      <w:tr>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情報</w:t>
            </w:r>
          </w:p>
          <w:p>
            <w:pPr>
              <w:spacing w:after="40" w:before="0"/>
              <w:jc w:val="left"/>
            </w:pPr>
            <w:r>
              <w:rPr>
                <w:rFonts w:ascii="Arial" w:cs="Arial" w:eastAsia="Arial" w:hAnsi="Arial"/>
                <w:i/>
                <w:iCs/>
                <w:color w:val="444444"/>
                <w:sz w:val="18"/>
                <w:szCs w:val="18"/>
              </w:rPr>
              <w:t xml:space="preserve">Intelligence</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人工收集數據、經驗判斷</w:t>
            </w:r>
          </w:p>
          <w:p>
            <w:pPr>
              <w:spacing w:after="40" w:before="0"/>
              <w:jc w:val="left"/>
            </w:pPr>
            <w:r>
              <w:rPr>
                <w:rFonts w:ascii="Arial" w:cs="Arial" w:eastAsia="Arial" w:hAnsi="Arial"/>
                <w:i/>
                <w:iCs/>
                <w:color w:val="444444"/>
                <w:sz w:val="18"/>
                <w:szCs w:val="18"/>
              </w:rPr>
              <w:t xml:space="preserve">Manual collection, experience</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AI自動掃描數據、預警異常</w:t>
            </w:r>
          </w:p>
          <w:p>
            <w:pPr>
              <w:spacing w:after="40" w:before="0"/>
              <w:jc w:val="left"/>
            </w:pPr>
            <w:r>
              <w:rPr>
                <w:rFonts w:ascii="Arial" w:cs="Arial" w:eastAsia="Arial" w:hAnsi="Arial"/>
                <w:i/>
                <w:iCs/>
                <w:color w:val="444444"/>
                <w:sz w:val="18"/>
                <w:szCs w:val="18"/>
              </w:rPr>
              <w:t xml:space="preserve">AI auto-scan, anomaly alert</w:t>
            </w:r>
          </w:p>
        </w:tc>
        <w:tc>
          <w:tcPr>
            <w:tcW w:type="dxa" w:w="2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AI持續監控+人類定義問題框架</w:t>
            </w:r>
          </w:p>
          <w:p>
            <w:pPr>
              <w:spacing w:after="40" w:before="0"/>
              <w:jc w:val="left"/>
            </w:pPr>
            <w:r>
              <w:rPr>
                <w:rFonts w:ascii="Arial" w:cs="Arial" w:eastAsia="Arial" w:hAnsi="Arial"/>
                <w:i/>
                <w:iCs/>
                <w:color w:val="444444"/>
                <w:sz w:val="18"/>
                <w:szCs w:val="18"/>
              </w:rPr>
              <w:t xml:space="preserve">AI monitor + human framing</w:t>
            </w:r>
          </w:p>
        </w:tc>
      </w:tr>
      <w:tr>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設計</w:t>
            </w:r>
          </w:p>
          <w:p>
            <w:pPr>
              <w:spacing w:after="40" w:before="0"/>
              <w:jc w:val="left"/>
            </w:pPr>
            <w:r>
              <w:rPr>
                <w:rFonts w:ascii="Arial" w:cs="Arial" w:eastAsia="Arial" w:hAnsi="Arial"/>
                <w:i/>
                <w:iCs/>
                <w:color w:val="444444"/>
                <w:sz w:val="18"/>
                <w:szCs w:val="18"/>
              </w:rPr>
              <w:t xml:space="preserve">Design</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少數專家構思有限方案</w:t>
            </w:r>
          </w:p>
          <w:p>
            <w:pPr>
              <w:spacing w:after="40" w:before="0"/>
              <w:jc w:val="left"/>
            </w:pPr>
            <w:r>
              <w:rPr>
                <w:rFonts w:ascii="Arial" w:cs="Arial" w:eastAsia="Arial" w:hAnsi="Arial"/>
                <w:i/>
                <w:iCs/>
                <w:color w:val="444444"/>
                <w:sz w:val="18"/>
                <w:szCs w:val="18"/>
              </w:rPr>
              <w:t xml:space="preserve">Few experts brainstorm</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AI生成數百個備選方案</w:t>
            </w:r>
          </w:p>
          <w:p>
            <w:pPr>
              <w:spacing w:after="40" w:before="0"/>
              <w:jc w:val="left"/>
            </w:pPr>
            <w:r>
              <w:rPr>
                <w:rFonts w:ascii="Arial" w:cs="Arial" w:eastAsia="Arial" w:hAnsi="Arial"/>
                <w:i/>
                <w:iCs/>
                <w:color w:val="444444"/>
                <w:sz w:val="18"/>
                <w:szCs w:val="18"/>
              </w:rPr>
              <w:t xml:space="preserve">AI generates hundreds</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AI探索方案空間+人類設定約束</w:t>
            </w:r>
          </w:p>
          <w:p>
            <w:pPr>
              <w:spacing w:after="40" w:before="0"/>
              <w:jc w:val="left"/>
            </w:pPr>
            <w:r>
              <w:rPr>
                <w:rFonts w:ascii="Arial" w:cs="Arial" w:eastAsia="Arial" w:hAnsi="Arial"/>
                <w:i/>
                <w:iCs/>
                <w:color w:val="444444"/>
                <w:sz w:val="18"/>
                <w:szCs w:val="18"/>
              </w:rPr>
              <w:t xml:space="preserve">AI explores + human constraints</w:t>
            </w:r>
          </w:p>
        </w:tc>
      </w:tr>
      <w:tr>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抉擇</w:t>
            </w:r>
          </w:p>
          <w:p>
            <w:pPr>
              <w:spacing w:after="40" w:before="0"/>
              <w:jc w:val="left"/>
            </w:pPr>
            <w:r>
              <w:rPr>
                <w:rFonts w:ascii="Arial" w:cs="Arial" w:eastAsia="Arial" w:hAnsi="Arial"/>
                <w:i/>
                <w:iCs/>
                <w:color w:val="444444"/>
                <w:sz w:val="18"/>
                <w:szCs w:val="18"/>
              </w:rPr>
              <w:t xml:space="preserve">Choice</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高管基於經驗直覺決策</w:t>
            </w:r>
          </w:p>
          <w:p>
            <w:pPr>
              <w:spacing w:after="40" w:before="0"/>
              <w:jc w:val="left"/>
            </w:pPr>
            <w:r>
              <w:rPr>
                <w:rFonts w:ascii="Arial" w:cs="Arial" w:eastAsia="Arial" w:hAnsi="Arial"/>
                <w:i/>
                <w:iCs/>
                <w:color w:val="444444"/>
                <w:sz w:val="18"/>
                <w:szCs w:val="18"/>
              </w:rPr>
              <w:t xml:space="preserve">Executive intuition</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AI提供數據支持的最優建議</w:t>
            </w:r>
          </w:p>
          <w:p>
            <w:pPr>
              <w:spacing w:after="40" w:before="0"/>
              <w:jc w:val="left"/>
            </w:pPr>
            <w:r>
              <w:rPr>
                <w:rFonts w:ascii="Arial" w:cs="Arial" w:eastAsia="Arial" w:hAnsi="Arial"/>
                <w:i/>
                <w:iCs/>
                <w:color w:val="444444"/>
                <w:sz w:val="18"/>
                <w:szCs w:val="18"/>
              </w:rPr>
              <w:t xml:space="preserve">AI data-supported optimal</w:t>
            </w:r>
          </w:p>
        </w:tc>
        <w:tc>
          <w:tcPr>
            <w:tcW w:type="dxa" w:w="2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人機共同評估+人類最終裁決</w:t>
            </w:r>
          </w:p>
          <w:p>
            <w:pPr>
              <w:spacing w:after="40" w:before="0"/>
              <w:jc w:val="left"/>
            </w:pPr>
            <w:r>
              <w:rPr>
                <w:rFonts w:ascii="Arial" w:cs="Arial" w:eastAsia="Arial" w:hAnsi="Arial"/>
                <w:i/>
                <w:iCs/>
                <w:color w:val="444444"/>
                <w:sz w:val="18"/>
                <w:szCs w:val="18"/>
              </w:rPr>
              <w:t xml:space="preserve">Joint eval + human final ruling</w:t>
            </w:r>
          </w:p>
        </w:tc>
      </w:tr>
      <w:tr>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評審</w:t>
            </w:r>
          </w:p>
          <w:p>
            <w:pPr>
              <w:spacing w:after="40" w:before="0"/>
              <w:jc w:val="left"/>
            </w:pPr>
            <w:r>
              <w:rPr>
                <w:rFonts w:ascii="Arial" w:cs="Arial" w:eastAsia="Arial" w:hAnsi="Arial"/>
                <w:i/>
                <w:iCs/>
                <w:color w:val="444444"/>
                <w:sz w:val="18"/>
                <w:szCs w:val="18"/>
              </w:rPr>
              <w:t xml:space="preserve">Review</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事後總結、經驗沉澱</w:t>
            </w:r>
          </w:p>
          <w:p>
            <w:pPr>
              <w:spacing w:after="40" w:before="0"/>
              <w:jc w:val="left"/>
            </w:pPr>
            <w:r>
              <w:rPr>
                <w:rFonts w:ascii="Arial" w:cs="Arial" w:eastAsia="Arial" w:hAnsi="Arial"/>
                <w:i/>
                <w:iCs/>
                <w:color w:val="444444"/>
                <w:sz w:val="18"/>
                <w:szCs w:val="18"/>
              </w:rPr>
              <w:t xml:space="preserve">Post-mortem, experience</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AI即時追蹤結果、偏差分析</w:t>
            </w:r>
          </w:p>
          <w:p>
            <w:pPr>
              <w:spacing w:after="40" w:before="0"/>
              <w:jc w:val="left"/>
            </w:pPr>
            <w:r>
              <w:rPr>
                <w:rFonts w:ascii="Arial" w:cs="Arial" w:eastAsia="Arial" w:hAnsi="Arial"/>
                <w:i/>
                <w:iCs/>
                <w:color w:val="444444"/>
                <w:sz w:val="18"/>
                <w:szCs w:val="18"/>
              </w:rPr>
              <w:t xml:space="preserve">AI real-time tracking</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人機共同學習、模型持續進化</w:t>
            </w:r>
          </w:p>
          <w:p>
            <w:pPr>
              <w:spacing w:after="40" w:before="0"/>
              <w:jc w:val="left"/>
            </w:pPr>
            <w:r>
              <w:rPr>
                <w:rFonts w:ascii="Arial" w:cs="Arial" w:eastAsia="Arial" w:hAnsi="Arial"/>
                <w:i/>
                <w:iCs/>
                <w:color w:val="444444"/>
                <w:sz w:val="18"/>
                <w:szCs w:val="18"/>
              </w:rPr>
              <w:t xml:space="preserve">Joint learning, model evolution</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3.2 數據驅動決策的崛起</w:t>
      </w:r>
    </w:p>
    <w:p>
      <w:pPr>
        <w:spacing w:after="180" w:before="0"/>
        <w:ind w:left="360"/>
      </w:pPr>
      <w:r>
        <w:rPr>
          <w:rFonts w:ascii="Arial" w:cs="Arial" w:eastAsia="Arial" w:hAnsi="Arial"/>
          <w:i/>
          <w:iCs/>
          <w:color w:val="444444"/>
          <w:sz w:val="24"/>
          <w:szCs w:val="24"/>
        </w:rPr>
        <w:t xml:space="preserve">3.2 Rise of Data-Driven Decision Making</w:t>
      </w:r>
    </w:p>
    <w:p>
      <w:pPr>
        <w:spacing w:after="60" w:before="120"/>
        <w:jc w:val="both"/>
      </w:pPr>
      <w:r>
        <w:rPr>
          <w:rFonts w:ascii="Microsoft YaHei" w:cs="Microsoft YaHei" w:eastAsia="Microsoft YaHei" w:hAnsi="Microsoft YaHei"/>
          <w:b w:val="false"/>
          <w:bCs w:val="false"/>
          <w:color w:val="000000"/>
          <w:sz w:val="24"/>
          <w:szCs w:val="24"/>
        </w:rPr>
        <w:t xml:space="preserve">Brynjolfsson、Hitt與Kim（2011）首次以嚴謹計量方法證明DDDM的生產力價值：179家大型上市公司中，採用DDDM的企業產出和生產力高出同業5-6%，且這一效應在資產利用率、股東權益報酬率和市場價值等其他指標上也同樣顯現。研究使用工具變量法驗證因果關係，排除反向因果的可能性。</w:t>
      </w:r>
    </w:p>
    <w:p>
      <w:pPr>
        <w:spacing w:after="180" w:before="0"/>
        <w:jc w:val="both"/>
      </w:pPr>
      <w:r>
        <w:rPr>
          <w:rFonts w:ascii="Arial" w:cs="Arial" w:eastAsia="Arial" w:hAnsi="Arial"/>
          <w:i/>
          <w:iCs/>
          <w:color w:val="444444"/>
          <w:sz w:val="22"/>
          <w:szCs w:val="22"/>
        </w:rPr>
        <w:t xml:space="preserve">Brynjolfsson, Hitt &amp; Kim (2011) first rigorously demonstrated DDDM's productivity value: among 179 large firms, DDDM adopters outperform peers by 5-6% in output and productivity, with this effect also manifested in asset utilization, ROE, and market value. Instrumental variables established causality, ruling out reverse causation.</w:t>
      </w:r>
    </w:p>
    <w:p>
      <w:pPr>
        <w:spacing w:after="60" w:before="120"/>
        <w:jc w:val="both"/>
      </w:pPr>
      <w:r>
        <w:rPr>
          <w:rFonts w:ascii="Microsoft YaHei" w:cs="Microsoft YaHei" w:eastAsia="Microsoft YaHei" w:hAnsi="Microsoft YaHei"/>
          <w:b w:val="false"/>
          <w:bCs w:val="false"/>
          <w:color w:val="000000"/>
          <w:sz w:val="24"/>
          <w:szCs w:val="24"/>
        </w:rPr>
        <w:t xml:space="preserve">DDDM落地成功取決於三大組織因素：領導支持（40%）、數據驅動文化（35%）、熟練勞動力（25%）。主要障礙包括數據品質問題（40%）、人才短缺（35%）、組織文化阻力（30%）。這些數據再次印證HHAI的核心判斷：AI的價值實現不在於技術本身，而在於組織是否具備與AI協作的管理能力。</w:t>
      </w:r>
    </w:p>
    <w:p>
      <w:pPr>
        <w:spacing w:after="180" w:before="0"/>
        <w:jc w:val="both"/>
      </w:pPr>
      <w:r>
        <w:rPr>
          <w:rFonts w:ascii="Arial" w:cs="Arial" w:eastAsia="Arial" w:hAnsi="Arial"/>
          <w:i/>
          <w:iCs/>
          <w:color w:val="444444"/>
          <w:sz w:val="22"/>
          <w:szCs w:val="22"/>
        </w:rPr>
        <w:t xml:space="preserve">DDDM success depends on: leadership support (40%), data-driven culture (35%), skilled workforce (25%). Barriers: data quality (40%), talent shortage (35%), cultural resistance (30%). These data reconfirm HHAI's core judgment: AI value realization depends not on technology itself, but on whether the organization has management capability to collaborate with AI.</w:t>
      </w:r>
    </w:p>
    <w:p>
      <w:pPr>
        <w:pStyle w:val="Heading2"/>
        <w:spacing w:after="60" w:before="240"/>
      </w:pPr>
      <w:r>
        <w:rPr>
          <w:rFonts w:ascii="Microsoft YaHei" w:cs="Microsoft YaHei" w:eastAsia="Microsoft YaHei" w:hAnsi="Microsoft YaHei"/>
          <w:b/>
          <w:bCs/>
          <w:color w:val="000000"/>
          <w:sz w:val="30"/>
          <w:szCs w:val="30"/>
        </w:rPr>
        <w:t xml:space="preserve">3.3 人機協作決策框架</w:t>
      </w:r>
    </w:p>
    <w:p>
      <w:pPr>
        <w:spacing w:after="180" w:before="0"/>
        <w:ind w:left="360"/>
      </w:pPr>
      <w:r>
        <w:rPr>
          <w:rFonts w:ascii="Arial" w:cs="Arial" w:eastAsia="Arial" w:hAnsi="Arial"/>
          <w:i/>
          <w:iCs/>
          <w:color w:val="444444"/>
          <w:sz w:val="24"/>
          <w:szCs w:val="24"/>
        </w:rPr>
        <w:t xml:space="preserve">3.3 Human-AI Collaborative Decision Framework</w:t>
      </w:r>
    </w:p>
    <w:p>
      <w:pPr>
        <w:spacing w:after="60" w:before="120"/>
        <w:jc w:val="both"/>
      </w:pPr>
      <w:r>
        <w:rPr>
          <w:rFonts w:ascii="Microsoft YaHei" w:cs="Microsoft YaHei" w:eastAsia="Microsoft YaHei" w:hAnsi="Microsoft YaHei"/>
          <w:b w:val="false"/>
          <w:bCs w:val="false"/>
          <w:color w:val="000000"/>
          <w:sz w:val="24"/>
          <w:szCs w:val="24"/>
        </w:rPr>
        <w:t xml:space="preserve">基於前述理論，我們建構五層決策分類框架（L1-L5）。核心洞見：自動化程度不是越高越好，而要與決策本質屬性匹配。對於高風險、高不確定性、涉及價值判斷的決策，人類的最終控制權不僅是組織需求，更是認知科學的要求。</w:t>
      </w:r>
    </w:p>
    <w:p>
      <w:pPr>
        <w:spacing w:after="180" w:before="0"/>
        <w:jc w:val="both"/>
      </w:pPr>
      <w:r>
        <w:rPr>
          <w:rFonts w:ascii="Arial" w:cs="Arial" w:eastAsia="Arial" w:hAnsi="Arial"/>
          <w:i/>
          <w:iCs/>
          <w:color w:val="444444"/>
          <w:sz w:val="22"/>
          <w:szCs w:val="22"/>
        </w:rPr>
        <w:t xml:space="preserve">Building on the preceding theory, we construct the Five-Layer Decision Classification (L1-L5). Core insight: the degree of automation must match decision attributes. For high-risk, high-uncertainty, value-laden decisions, human final control is a cognitive science requirement, not just organizational need.</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400"/>
        <w:gridCol w:w="2000"/>
        <w:gridCol w:w="1800"/>
        <w:gridCol w:w="2000"/>
      </w:tblGrid>
      <w:tr>
        <w:trPr>
          <w:tblHeader/>
        </w:trPr>
        <w:tc>
          <w:tcPr>
            <w:tcW w:type="dxa" w:w="1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層級 / Level</w:t>
            </w:r>
          </w:p>
        </w:tc>
        <w:tc>
          <w:tcPr>
            <w:tcW w:type="dxa" w:w="1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自動化程度
Auto. %</w:t>
            </w:r>
          </w:p>
        </w:tc>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AI角色
AI Role</w:t>
            </w:r>
          </w:p>
        </w:tc>
        <w:tc>
          <w:tcPr>
            <w:tcW w:type="dxa" w:w="1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人類角色
Human Role</w:t>
            </w:r>
          </w:p>
        </w:tc>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典型決策 / Typical Decisions</w:t>
            </w:r>
          </w:p>
        </w:tc>
      </w:tr>
      <w:tr>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L1：全自動</w:t>
            </w:r>
          </w:p>
          <w:p>
            <w:pPr>
              <w:spacing w:after="40" w:before="0"/>
              <w:jc w:val="left"/>
            </w:pPr>
            <w:r>
              <w:rPr>
                <w:rFonts w:ascii="Arial" w:cs="Arial" w:eastAsia="Arial" w:hAnsi="Arial"/>
                <w:i/>
                <w:iCs/>
                <w:color w:val="444444"/>
                <w:sz w:val="18"/>
                <w:szCs w:val="18"/>
              </w:rPr>
              <w:t xml:space="preserve">L1: Full Auto</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95%+</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獨立制定並執行決策</w:t>
            </w:r>
          </w:p>
          <w:p>
            <w:pPr>
              <w:spacing w:after="40" w:before="0"/>
              <w:jc w:val="left"/>
            </w:pPr>
            <w:r>
              <w:rPr>
                <w:rFonts w:ascii="Arial" w:cs="Arial" w:eastAsia="Arial" w:hAnsi="Arial"/>
                <w:i/>
                <w:iCs/>
                <w:color w:val="444444"/>
                <w:sz w:val="18"/>
                <w:szCs w:val="18"/>
              </w:rPr>
              <w:t xml:space="preserve">Independent execution</w:t>
            </w:r>
          </w:p>
        </w:tc>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設定邊界、定期審計</w:t>
            </w:r>
          </w:p>
          <w:p>
            <w:pPr>
              <w:spacing w:after="40" w:before="0"/>
              <w:jc w:val="left"/>
            </w:pPr>
            <w:r>
              <w:rPr>
                <w:rFonts w:ascii="Arial" w:cs="Arial" w:eastAsia="Arial" w:hAnsi="Arial"/>
                <w:i/>
                <w:iCs/>
                <w:color w:val="444444"/>
                <w:sz w:val="18"/>
                <w:szCs w:val="18"/>
              </w:rPr>
              <w:t xml:space="preserve">Set boundaries, audit</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庫存補貨、報表生成</w:t>
            </w:r>
          </w:p>
          <w:p>
            <w:pPr>
              <w:spacing w:after="40" w:before="0"/>
              <w:jc w:val="left"/>
            </w:pPr>
            <w:r>
              <w:rPr>
                <w:rFonts w:ascii="Arial" w:cs="Arial" w:eastAsia="Arial" w:hAnsi="Arial"/>
                <w:i/>
                <w:iCs/>
                <w:color w:val="444444"/>
                <w:sz w:val="18"/>
                <w:szCs w:val="18"/>
              </w:rPr>
              <w:t xml:space="preserve">Inventory, Report Gen</w:t>
            </w:r>
          </w:p>
        </w:tc>
      </w:tr>
      <w:tr>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L2：AI輔助人</w:t>
            </w:r>
          </w:p>
          <w:p>
            <w:pPr>
              <w:spacing w:after="40" w:before="0"/>
              <w:jc w:val="left"/>
            </w:pPr>
            <w:r>
              <w:rPr>
                <w:rFonts w:ascii="Arial" w:cs="Arial" w:eastAsia="Arial" w:hAnsi="Arial"/>
                <w:i/>
                <w:iCs/>
                <w:color w:val="444444"/>
                <w:sz w:val="18"/>
                <w:szCs w:val="18"/>
              </w:rPr>
              <w:t xml:space="preserve">L2: AI-Assisted</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70-80%</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提供分析與建議</w:t>
            </w:r>
          </w:p>
          <w:p>
            <w:pPr>
              <w:spacing w:after="40" w:before="0"/>
              <w:jc w:val="left"/>
            </w:pPr>
            <w:r>
              <w:rPr>
                <w:rFonts w:ascii="Arial" w:cs="Arial" w:eastAsia="Arial" w:hAnsi="Arial"/>
                <w:i/>
                <w:iCs/>
                <w:color w:val="444444"/>
                <w:sz w:val="18"/>
                <w:szCs w:val="18"/>
              </w:rPr>
              <w:t xml:space="preserve">Analysis &amp; recommendations</w:t>
            </w:r>
          </w:p>
        </w:tc>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最終抉擇、承擔責任</w:t>
            </w:r>
          </w:p>
          <w:p>
            <w:pPr>
              <w:spacing w:after="40" w:before="0"/>
              <w:jc w:val="left"/>
            </w:pPr>
            <w:r>
              <w:rPr>
                <w:rFonts w:ascii="Arial" w:cs="Arial" w:eastAsia="Arial" w:hAnsi="Arial"/>
                <w:i/>
                <w:iCs/>
                <w:color w:val="444444"/>
                <w:sz w:val="18"/>
                <w:szCs w:val="18"/>
              </w:rPr>
              <w:t xml:space="preserve">Final choice, accountability</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預算分配、供應商選擇</w:t>
            </w:r>
          </w:p>
          <w:p>
            <w:pPr>
              <w:spacing w:after="40" w:before="0"/>
              <w:jc w:val="left"/>
            </w:pPr>
            <w:r>
              <w:rPr>
                <w:rFonts w:ascii="Arial" w:cs="Arial" w:eastAsia="Arial" w:hAnsi="Arial"/>
                <w:i/>
                <w:iCs/>
                <w:color w:val="444444"/>
                <w:sz w:val="18"/>
                <w:szCs w:val="18"/>
              </w:rPr>
              <w:t xml:space="preserve">Budget, Procurement</w:t>
            </w:r>
          </w:p>
        </w:tc>
      </w:tr>
      <w:tr>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L3：人機互動</w:t>
            </w:r>
          </w:p>
          <w:p>
            <w:pPr>
              <w:spacing w:after="40" w:before="0"/>
              <w:jc w:val="left"/>
            </w:pPr>
            <w:r>
              <w:rPr>
                <w:rFonts w:ascii="Arial" w:cs="Arial" w:eastAsia="Arial" w:hAnsi="Arial"/>
                <w:i/>
                <w:iCs/>
                <w:color w:val="444444"/>
                <w:sz w:val="18"/>
                <w:szCs w:val="18"/>
              </w:rPr>
              <w:t xml:space="preserve">L3: Interactive</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~50%</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生成方案、模擬推演</w:t>
            </w:r>
          </w:p>
          <w:p>
            <w:pPr>
              <w:spacing w:after="40" w:before="0"/>
              <w:jc w:val="left"/>
            </w:pPr>
            <w:r>
              <w:rPr>
                <w:rFonts w:ascii="Arial" w:cs="Arial" w:eastAsia="Arial" w:hAnsi="Arial"/>
                <w:i/>
                <w:iCs/>
                <w:color w:val="444444"/>
                <w:sz w:val="18"/>
                <w:szCs w:val="18"/>
              </w:rPr>
              <w:t xml:space="preserve">Generate options, simulate</w:t>
            </w:r>
          </w:p>
        </w:tc>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價值判斷、戰略把關</w:t>
            </w:r>
          </w:p>
          <w:p>
            <w:pPr>
              <w:spacing w:after="40" w:before="0"/>
              <w:jc w:val="left"/>
            </w:pPr>
            <w:r>
              <w:rPr>
                <w:rFonts w:ascii="Arial" w:cs="Arial" w:eastAsia="Arial" w:hAnsi="Arial"/>
                <w:i/>
                <w:iCs/>
                <w:color w:val="444444"/>
                <w:sz w:val="18"/>
                <w:szCs w:val="18"/>
              </w:rPr>
              <w:t xml:space="preserve">Value judgment, strategy</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新產品方向、組織調整</w:t>
            </w:r>
          </w:p>
          <w:p>
            <w:pPr>
              <w:spacing w:after="40" w:before="0"/>
              <w:jc w:val="left"/>
            </w:pPr>
            <w:r>
              <w:rPr>
                <w:rFonts w:ascii="Arial" w:cs="Arial" w:eastAsia="Arial" w:hAnsi="Arial"/>
                <w:i/>
                <w:iCs/>
                <w:color w:val="444444"/>
                <w:sz w:val="18"/>
                <w:szCs w:val="18"/>
              </w:rPr>
              <w:t xml:space="preserve">New Product, Org Design</w:t>
            </w:r>
          </w:p>
        </w:tc>
      </w:tr>
      <w:tr>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L4：人輔助AI</w:t>
            </w:r>
          </w:p>
          <w:p>
            <w:pPr>
              <w:spacing w:after="40" w:before="0"/>
              <w:jc w:val="left"/>
            </w:pPr>
            <w:r>
              <w:rPr>
                <w:rFonts w:ascii="Arial" w:cs="Arial" w:eastAsia="Arial" w:hAnsi="Arial"/>
                <w:i/>
                <w:iCs/>
                <w:color w:val="444444"/>
                <w:sz w:val="18"/>
                <w:szCs w:val="18"/>
              </w:rPr>
              <w:t xml:space="preserve">L4: Human-Assist AI</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40" w:before="40"/>
              <w:jc w:val="left"/>
            </w:pPr>
            <w:r>
              <w:rPr>
                <w:rFonts w:ascii="Microsoft YaHei" w:cs="Microsoft YaHei" w:eastAsia="Microsoft YaHei" w:hAnsi="Microsoft YaHei"/>
                <w:b w:val="false"/>
                <w:bCs w:val="false"/>
                <w:color w:val="000000"/>
                <w:sz w:val="20"/>
                <w:szCs w:val="20"/>
              </w:rPr>
              <w:t xml:space="preserve">20-30%</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承擔主要認知負荷</w:t>
            </w:r>
          </w:p>
          <w:p>
            <w:pPr>
              <w:spacing w:after="40" w:before="0"/>
              <w:jc w:val="left"/>
            </w:pPr>
            <w:r>
              <w:rPr>
                <w:rFonts w:ascii="Arial" w:cs="Arial" w:eastAsia="Arial" w:hAnsi="Arial"/>
                <w:i/>
                <w:iCs/>
                <w:color w:val="444444"/>
                <w:sz w:val="18"/>
                <w:szCs w:val="18"/>
              </w:rPr>
              <w:t xml:space="preserve">Primary cognitive load</w:t>
            </w:r>
          </w:p>
        </w:tc>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提供領域知識、處理例外</w:t>
            </w:r>
          </w:p>
          <w:p>
            <w:pPr>
              <w:spacing w:after="40" w:before="0"/>
              <w:jc w:val="left"/>
            </w:pPr>
            <w:r>
              <w:rPr>
                <w:rFonts w:ascii="Arial" w:cs="Arial" w:eastAsia="Arial" w:hAnsi="Arial"/>
                <w:i/>
                <w:iCs/>
                <w:color w:val="444444"/>
                <w:sz w:val="18"/>
                <w:szCs w:val="18"/>
              </w:rPr>
              <w:t xml:space="preserve">Domain knowledge, exceptions</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複雜調度、風險預測</w:t>
            </w:r>
          </w:p>
          <w:p>
            <w:pPr>
              <w:spacing w:after="40" w:before="0"/>
              <w:jc w:val="left"/>
            </w:pPr>
            <w:r>
              <w:rPr>
                <w:rFonts w:ascii="Arial" w:cs="Arial" w:eastAsia="Arial" w:hAnsi="Arial"/>
                <w:i/>
                <w:iCs/>
                <w:color w:val="444444"/>
                <w:sz w:val="18"/>
                <w:szCs w:val="18"/>
              </w:rPr>
              <w:t xml:space="preserve">Complex Scheduling, Risk</w:t>
            </w:r>
          </w:p>
        </w:tc>
      </w:tr>
      <w:tr>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L5：人類決策</w:t>
            </w:r>
          </w:p>
          <w:p>
            <w:pPr>
              <w:spacing w:after="40" w:before="0"/>
              <w:jc w:val="left"/>
            </w:pPr>
            <w:r>
              <w:rPr>
                <w:rFonts w:ascii="Arial" w:cs="Arial" w:eastAsia="Arial" w:hAnsi="Arial"/>
                <w:i/>
                <w:iCs/>
                <w:color w:val="444444"/>
                <w:sz w:val="18"/>
                <w:szCs w:val="18"/>
              </w:rPr>
              <w:t xml:space="preserve">L5: Human Only</w:t>
            </w:r>
          </w:p>
        </w:tc>
        <w:tc>
          <w:tcPr>
            <w:tcW w:type="dxa" w:w="1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&lt;10%</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提供資訊背景</w:t>
            </w:r>
          </w:p>
          <w:p>
            <w:pPr>
              <w:spacing w:after="40" w:before="0"/>
              <w:jc w:val="left"/>
            </w:pPr>
            <w:r>
              <w:rPr>
                <w:rFonts w:ascii="Arial" w:cs="Arial" w:eastAsia="Arial" w:hAnsi="Arial"/>
                <w:i/>
                <w:iCs/>
                <w:color w:val="444444"/>
                <w:sz w:val="18"/>
                <w:szCs w:val="18"/>
              </w:rPr>
              <w:t xml:space="preserve">Provide info context</w:t>
            </w:r>
          </w:p>
        </w:tc>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承擔全部責任</w:t>
            </w:r>
          </w:p>
          <w:p>
            <w:pPr>
              <w:spacing w:after="40" w:before="0"/>
              <w:jc w:val="left"/>
            </w:pPr>
            <w:r>
              <w:rPr>
                <w:rFonts w:ascii="Arial" w:cs="Arial" w:eastAsia="Arial" w:hAnsi="Arial"/>
                <w:i/>
                <w:iCs/>
                <w:color w:val="444444"/>
                <w:sz w:val="18"/>
                <w:szCs w:val="18"/>
              </w:rPr>
              <w:t xml:space="preserve">Full accountability</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道德判斷、危機管理</w:t>
            </w:r>
          </w:p>
          <w:p>
            <w:pPr>
              <w:spacing w:after="40" w:before="0"/>
              <w:jc w:val="left"/>
            </w:pPr>
            <w:r>
              <w:rPr>
                <w:rFonts w:ascii="Arial" w:cs="Arial" w:eastAsia="Arial" w:hAnsi="Arial"/>
                <w:i/>
                <w:iCs/>
                <w:color w:val="444444"/>
                <w:sz w:val="18"/>
                <w:szCs w:val="18"/>
              </w:rPr>
              <w:t xml:space="preserve">Ethics, Crisis Mgmt</w:t>
            </w:r>
          </w:p>
        </w:tc>
      </w:tr>
    </w:tbl>
    <w:p>
      <w:pPr>
        <w:spacing w:after="0" w:before="100"/>
      </w:pPr>
    </w:p>
    <w:p>
      <w:pPr>
        <w:spacing w:after="60" w:before="120"/>
        <w:jc w:val="both"/>
      </w:pPr>
      <w:r>
        <w:rPr>
          <w:rFonts w:ascii="Microsoft YaHei" w:cs="Microsoft YaHei" w:eastAsia="Microsoft YaHei" w:hAnsi="Microsoft YaHei"/>
          <w:b w:val="false"/>
          <w:bCs w:val="false"/>
          <w:color w:val="000000"/>
          <w:sz w:val="24"/>
          <w:szCs w:val="24"/>
        </w:rPr>
        <w:t xml:space="preserve">Shaw與Nave的實驗提供了微觀支持：AI正確時人類準確率從46%升至71%（+25pp）；AI錯誤時降至31%（-15pp）。對AI信任度每增一個標準差，抵抗錯誤AI的比率降低64%。財務激勵可將覆蓋率從20%提升至42.3%，但仍無法消除認知投降。在L3-L5層級，必須設計機制保持人類批判性參與——強制解釋審查、認知強制技術和適時反饋循環。</w:t>
      </w:r>
    </w:p>
    <w:p>
      <w:pPr>
        <w:spacing w:after="180" w:before="0"/>
        <w:jc w:val="both"/>
      </w:pPr>
      <w:r>
        <w:rPr>
          <w:rFonts w:ascii="Arial" w:cs="Arial" w:eastAsia="Arial" w:hAnsi="Arial"/>
          <w:i/>
          <w:iCs/>
          <w:color w:val="444444"/>
          <w:sz w:val="22"/>
          <w:szCs w:val="22"/>
        </w:rPr>
        <w:t xml:space="preserve">Shaw &amp; Nave's experiments provide micro-level support: AI correct → accuracy 46%→71% (+25pp); AI wrong → drops to 31% (-15pp). Each SD increase in AI trust reduces resistance to wrong AI by 64%. Financial incentives raise override rates from 20% to 42.3% but cannot eliminate cognitive surrender. At L3-L5, mechanisms must maintain human critical engagement — mandatory explanation review, cognitive forcing techniques, and timely feedback loops.</w:t>
      </w:r>
    </w:p>
    <w:p>
      <w:pPr>
        <w:pStyle w:val="Heading2"/>
        <w:spacing w:after="60" w:before="240"/>
      </w:pPr>
      <w:r>
        <w:rPr>
          <w:rFonts w:ascii="Microsoft YaHei" w:cs="Microsoft YaHei" w:eastAsia="Microsoft YaHei" w:hAnsi="Microsoft YaHei"/>
          <w:b/>
          <w:bCs/>
          <w:color w:val="000000"/>
          <w:sz w:val="30"/>
          <w:szCs w:val="30"/>
        </w:rPr>
        <w:t xml:space="preserve">3.4 管理決策自動化六級框架</w:t>
      </w:r>
    </w:p>
    <w:p>
      <w:pPr>
        <w:spacing w:after="180" w:before="0"/>
        <w:ind w:left="360"/>
      </w:pPr>
      <w:r>
        <w:rPr>
          <w:rFonts w:ascii="Arial" w:cs="Arial" w:eastAsia="Arial" w:hAnsi="Arial"/>
          <w:i/>
          <w:iCs/>
          <w:color w:val="444444"/>
          <w:sz w:val="24"/>
          <w:szCs w:val="24"/>
        </w:rPr>
        <w:t xml:space="preserve">3.4 Six-Level Automation Framework for Management Decisions</w:t>
      </w:r>
    </w:p>
    <w:p>
      <w:pPr>
        <w:spacing w:after="60" w:before="120"/>
        <w:jc w:val="both"/>
      </w:pPr>
      <w:r>
        <w:rPr>
          <w:rFonts w:ascii="Microsoft YaHei" w:cs="Microsoft YaHei" w:eastAsia="Microsoft YaHei" w:hAnsi="Microsoft YaHei"/>
          <w:b w:val="false"/>
          <w:bCs w:val="false"/>
          <w:color w:val="000000"/>
          <w:sz w:val="24"/>
          <w:szCs w:val="24"/>
        </w:rPr>
        <w:t xml:space="preserve">參照SAE J3016自動駕駛六級分類，我們建構管理決策自動化六級框架。正如SAE分類推動了自動駕駛產業，管理決策分類將為企業AI應用提供共通語言。當組織討論「AI驅動的決策」時，每個人都清楚當前處於哪一級、目標是哪一級、需要什麼條件才能升級。</w:t>
      </w:r>
    </w:p>
    <w:p>
      <w:pPr>
        <w:spacing w:after="180" w:before="0"/>
        <w:jc w:val="both"/>
      </w:pPr>
      <w:r>
        <w:rPr>
          <w:rFonts w:ascii="Arial" w:cs="Arial" w:eastAsia="Arial" w:hAnsi="Arial"/>
          <w:i/>
          <w:iCs/>
          <w:color w:val="444444"/>
          <w:sz w:val="22"/>
          <w:szCs w:val="22"/>
        </w:rPr>
        <w:t xml:space="preserve">Referencing SAE J3016's six-level driving classification, we construct the management decision automation framework. Just as SAE classification propelled autonomous driving, this classification provides a common language for enterprise AI adoption — everyone understands which level they are at, which is the target, and what conditions are needed to advance.</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2000"/>
        <w:gridCol w:w="2000"/>
        <w:gridCol w:w="2000"/>
      </w:tblGrid>
      <w:tr>
        <w:trPr>
          <w:tblHeader/>
        </w:trPr>
        <w:tc>
          <w:tcPr>
            <w:tcW w:type="dxa" w:w="1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級別 / Level</w:t>
            </w:r>
          </w:p>
        </w:tc>
        <w:tc>
          <w:tcPr>
            <w:tcW w:type="dxa" w:w="1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名稱 / Name</w:t>
            </w:r>
          </w:p>
        </w:tc>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核心能力 / Core Capability</w:t>
            </w:r>
          </w:p>
        </w:tc>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人類角色 / Human Role</w:t>
            </w:r>
          </w:p>
        </w:tc>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適用場景 / Use Case</w:t>
            </w:r>
          </w:p>
        </w:tc>
      </w:tr>
      <w:tr>
        <w:tc>
          <w:tcPr>
            <w:tcW w:type="dxa" w:w="1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L0</w:t>
            </w:r>
          </w:p>
          <w:p>
            <w:pPr>
              <w:spacing w:after="40" w:before="0"/>
              <w:jc w:val="left"/>
            </w:pPr>
            <w:r>
              <w:rPr>
                <w:rFonts w:ascii="Arial" w:cs="Arial" w:eastAsia="Arial" w:hAnsi="Arial"/>
                <w:i/>
                <w:iCs/>
                <w:color w:val="444444"/>
                <w:sz w:val="18"/>
                <w:szCs w:val="18"/>
              </w:rPr>
              <w:t xml:space="preserve">無自動化</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人類全責</w:t>
            </w:r>
          </w:p>
          <w:p>
            <w:pPr>
              <w:spacing w:after="40" w:before="0"/>
              <w:jc w:val="left"/>
            </w:pPr>
            <w:r>
              <w:rPr>
                <w:rFonts w:ascii="Arial" w:cs="Arial" w:eastAsia="Arial" w:hAnsi="Arial"/>
                <w:i/>
                <w:iCs/>
                <w:color w:val="444444"/>
                <w:sz w:val="18"/>
                <w:szCs w:val="18"/>
              </w:rPr>
              <w:t xml:space="preserve">Human Full Responsibility</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所有判斷由經理做出</w:t>
            </w:r>
          </w:p>
          <w:p>
            <w:pPr>
              <w:spacing w:after="40" w:before="0"/>
              <w:jc w:val="left"/>
            </w:pPr>
            <w:r>
              <w:rPr>
                <w:rFonts w:ascii="Arial" w:cs="Arial" w:eastAsia="Arial" w:hAnsi="Arial"/>
                <w:i/>
                <w:iCs/>
                <w:color w:val="444444"/>
                <w:sz w:val="18"/>
                <w:szCs w:val="18"/>
              </w:rPr>
              <w:t xml:space="preserve">All judgments by managers</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全責決策者</w:t>
            </w:r>
          </w:p>
          <w:p>
            <w:pPr>
              <w:spacing w:after="40" w:before="0"/>
              <w:jc w:val="left"/>
            </w:pPr>
            <w:r>
              <w:rPr>
                <w:rFonts w:ascii="Arial" w:cs="Arial" w:eastAsia="Arial" w:hAnsi="Arial"/>
                <w:i/>
                <w:iCs/>
                <w:color w:val="444444"/>
                <w:sz w:val="18"/>
                <w:szCs w:val="18"/>
              </w:rPr>
              <w:t xml:space="preserve">Full Decision Maker</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傳統管理決策</w:t>
            </w:r>
          </w:p>
          <w:p>
            <w:pPr>
              <w:spacing w:after="40" w:before="0"/>
              <w:jc w:val="left"/>
            </w:pPr>
            <w:r>
              <w:rPr>
                <w:rFonts w:ascii="Arial" w:cs="Arial" w:eastAsia="Arial" w:hAnsi="Arial"/>
                <w:i/>
                <w:iCs/>
                <w:color w:val="444444"/>
                <w:sz w:val="18"/>
                <w:szCs w:val="18"/>
              </w:rPr>
              <w:t xml:space="preserve">Traditional Mgmt</w:t>
            </w:r>
          </w:p>
        </w:tc>
      </w:tr>
      <w:tr>
        <w:tc>
          <w:tcPr>
            <w:tcW w:type="dxa" w:w="1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L1</w:t>
            </w:r>
          </w:p>
          <w:p>
            <w:pPr>
              <w:spacing w:after="40" w:before="0"/>
              <w:jc w:val="left"/>
            </w:pPr>
            <w:r>
              <w:rPr>
                <w:rFonts w:ascii="Arial" w:cs="Arial" w:eastAsia="Arial" w:hAnsi="Arial"/>
                <w:i/>
                <w:iCs/>
                <w:color w:val="444444"/>
                <w:sz w:val="18"/>
                <w:szCs w:val="18"/>
              </w:rPr>
              <w:t xml:space="preserve">決策輔助</w:t>
            </w:r>
          </w:p>
        </w:tc>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AI提供數據分析與建議</w:t>
            </w:r>
          </w:p>
          <w:p>
            <w:pPr>
              <w:spacing w:after="40" w:before="0"/>
              <w:jc w:val="left"/>
            </w:pPr>
            <w:r>
              <w:rPr>
                <w:rFonts w:ascii="Arial" w:cs="Arial" w:eastAsia="Arial" w:hAnsi="Arial"/>
                <w:i/>
                <w:iCs/>
                <w:color w:val="444444"/>
                <w:sz w:val="18"/>
                <w:szCs w:val="18"/>
              </w:rPr>
              <w:t xml:space="preserve">AI provides analysis &amp; recs</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主動決策者</w:t>
            </w:r>
          </w:p>
          <w:p>
            <w:pPr>
              <w:spacing w:after="40" w:before="0"/>
              <w:jc w:val="left"/>
            </w:pPr>
            <w:r>
              <w:rPr>
                <w:rFonts w:ascii="Arial" w:cs="Arial" w:eastAsia="Arial" w:hAnsi="Arial"/>
                <w:i/>
                <w:iCs/>
                <w:color w:val="444444"/>
                <w:sz w:val="18"/>
                <w:szCs w:val="18"/>
              </w:rPr>
              <w:t xml:space="preserve">Active Decision Maker</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BI報表、數據儀表板</w:t>
            </w:r>
          </w:p>
          <w:p>
            <w:pPr>
              <w:spacing w:after="40" w:before="0"/>
              <w:jc w:val="left"/>
            </w:pPr>
            <w:r>
              <w:rPr>
                <w:rFonts w:ascii="Arial" w:cs="Arial" w:eastAsia="Arial" w:hAnsi="Arial"/>
                <w:i/>
                <w:iCs/>
                <w:color w:val="444444"/>
                <w:sz w:val="18"/>
                <w:szCs w:val="18"/>
              </w:rPr>
              <w:t xml:space="preserve">BI Dashboards</w:t>
            </w:r>
          </w:p>
        </w:tc>
      </w:tr>
      <w:tr>
        <w:tc>
          <w:tcPr>
            <w:tcW w:type="dxa" w:w="1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L2</w:t>
            </w:r>
          </w:p>
          <w:p>
            <w:pPr>
              <w:spacing w:after="40" w:before="0"/>
              <w:jc w:val="left"/>
            </w:pPr>
            <w:r>
              <w:rPr>
                <w:rFonts w:ascii="Arial" w:cs="Arial" w:eastAsia="Arial" w:hAnsi="Arial"/>
                <w:i/>
                <w:iCs/>
                <w:color w:val="444444"/>
                <w:sz w:val="18"/>
                <w:szCs w:val="18"/>
              </w:rPr>
              <w:t xml:space="preserve">部分自動化</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AI在定義條件下執行</w:t>
            </w:r>
          </w:p>
          <w:p>
            <w:pPr>
              <w:spacing w:after="40" w:before="0"/>
              <w:jc w:val="left"/>
            </w:pPr>
            <w:r>
              <w:rPr>
                <w:rFonts w:ascii="Arial" w:cs="Arial" w:eastAsia="Arial" w:hAnsi="Arial"/>
                <w:i/>
                <w:iCs/>
                <w:color w:val="444444"/>
                <w:sz w:val="18"/>
                <w:szCs w:val="18"/>
              </w:rPr>
              <w:t xml:space="preserve">AI executes within conditions</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監督者、隨時干預</w:t>
            </w:r>
          </w:p>
          <w:p>
            <w:pPr>
              <w:spacing w:after="40" w:before="0"/>
              <w:jc w:val="left"/>
            </w:pPr>
            <w:r>
              <w:rPr>
                <w:rFonts w:ascii="Arial" w:cs="Arial" w:eastAsia="Arial" w:hAnsi="Arial"/>
                <w:i/>
                <w:iCs/>
                <w:color w:val="444444"/>
                <w:sz w:val="18"/>
                <w:szCs w:val="18"/>
              </w:rPr>
              <w:t xml:space="preserve">Supervisor, intervene</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規則驅動定價、審批</w:t>
            </w:r>
          </w:p>
          <w:p>
            <w:pPr>
              <w:spacing w:after="40" w:before="0"/>
              <w:jc w:val="left"/>
            </w:pPr>
            <w:r>
              <w:rPr>
                <w:rFonts w:ascii="Arial" w:cs="Arial" w:eastAsia="Arial" w:hAnsi="Arial"/>
                <w:i/>
                <w:iCs/>
                <w:color w:val="444444"/>
                <w:sz w:val="18"/>
                <w:szCs w:val="18"/>
              </w:rPr>
              <w:t xml:space="preserve">Rule Pricing, Approvals</w:t>
            </w:r>
          </w:p>
        </w:tc>
      </w:tr>
      <w:tr>
        <w:tc>
          <w:tcPr>
            <w:tcW w:type="dxa" w:w="1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L3</w:t>
            </w:r>
          </w:p>
          <w:p>
            <w:pPr>
              <w:spacing w:after="40" w:before="0"/>
              <w:jc w:val="left"/>
            </w:pPr>
            <w:r>
              <w:rPr>
                <w:rFonts w:ascii="Arial" w:cs="Arial" w:eastAsia="Arial" w:hAnsi="Arial"/>
                <w:i/>
                <w:iCs/>
                <w:color w:val="444444"/>
                <w:sz w:val="18"/>
                <w:szCs w:val="18"/>
              </w:rPr>
              <w:t xml:space="preserve">有條件自動化</w:t>
            </w:r>
          </w:p>
        </w:tc>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AI處理完整決策鏈</w:t>
            </w:r>
          </w:p>
          <w:p>
            <w:pPr>
              <w:spacing w:after="40" w:before="0"/>
              <w:jc w:val="left"/>
            </w:pPr>
            <w:r>
              <w:rPr>
                <w:rFonts w:ascii="Arial" w:cs="Arial" w:eastAsia="Arial" w:hAnsi="Arial"/>
                <w:i/>
                <w:iCs/>
                <w:color w:val="444444"/>
                <w:sz w:val="18"/>
                <w:szCs w:val="18"/>
              </w:rPr>
              <w:t xml:space="preserve">AI handles full chain</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後備決策者、被動待命</w:t>
            </w:r>
          </w:p>
          <w:p>
            <w:pPr>
              <w:spacing w:after="40" w:before="0"/>
              <w:jc w:val="left"/>
            </w:pPr>
            <w:r>
              <w:rPr>
                <w:rFonts w:ascii="Arial" w:cs="Arial" w:eastAsia="Arial" w:hAnsi="Arial"/>
                <w:i/>
                <w:iCs/>
                <w:color w:val="444444"/>
                <w:sz w:val="18"/>
                <w:szCs w:val="18"/>
              </w:rPr>
              <w:t xml:space="preserve">Backup, on standby</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智能工作流、供應鏈</w:t>
            </w:r>
          </w:p>
          <w:p>
            <w:pPr>
              <w:spacing w:after="40" w:before="0"/>
              <w:jc w:val="left"/>
            </w:pPr>
            <w:r>
              <w:rPr>
                <w:rFonts w:ascii="Arial" w:cs="Arial" w:eastAsia="Arial" w:hAnsi="Arial"/>
                <w:i/>
                <w:iCs/>
                <w:color w:val="444444"/>
                <w:sz w:val="18"/>
                <w:szCs w:val="18"/>
              </w:rPr>
              <w:t xml:space="preserve">Smart Workflows</w:t>
            </w:r>
          </w:p>
        </w:tc>
      </w:tr>
      <w:tr>
        <w:tc>
          <w:tcPr>
            <w:tcW w:type="dxa" w:w="1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L4</w:t>
            </w:r>
          </w:p>
          <w:p>
            <w:pPr>
              <w:spacing w:after="40" w:before="0"/>
              <w:jc w:val="left"/>
            </w:pPr>
            <w:r>
              <w:rPr>
                <w:rFonts w:ascii="Arial" w:cs="Arial" w:eastAsia="Arial" w:hAnsi="Arial"/>
                <w:i/>
                <w:iCs/>
                <w:color w:val="444444"/>
                <w:sz w:val="18"/>
                <w:szCs w:val="18"/>
              </w:rPr>
              <w:t xml:space="preserve">高度自動化</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AI在領域內端到端決策</w:t>
            </w:r>
          </w:p>
          <w:p>
            <w:pPr>
              <w:spacing w:after="40" w:before="0"/>
              <w:jc w:val="left"/>
            </w:pPr>
            <w:r>
              <w:rPr>
                <w:rFonts w:ascii="Arial" w:cs="Arial" w:eastAsia="Arial" w:hAnsi="Arial"/>
                <w:i/>
                <w:iCs/>
                <w:color w:val="444444"/>
                <w:sz w:val="18"/>
                <w:szCs w:val="18"/>
              </w:rPr>
              <w:t xml:space="preserve">AI end-to-end in domain</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審計者、事後核查</w:t>
            </w:r>
          </w:p>
          <w:p>
            <w:pPr>
              <w:spacing w:after="40" w:before="0"/>
              <w:jc w:val="left"/>
            </w:pPr>
            <w:r>
              <w:rPr>
                <w:rFonts w:ascii="Arial" w:cs="Arial" w:eastAsia="Arial" w:hAnsi="Arial"/>
                <w:i/>
                <w:iCs/>
                <w:color w:val="444444"/>
                <w:sz w:val="18"/>
                <w:szCs w:val="18"/>
              </w:rPr>
              <w:t xml:space="preserve">Auditor, post-review</w:t>
            </w:r>
          </w:p>
        </w:tc>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 Agent管理庫存</w:t>
            </w:r>
          </w:p>
          <w:p>
            <w:pPr>
              <w:spacing w:after="40" w:before="0"/>
              <w:jc w:val="left"/>
            </w:pPr>
            <w:r>
              <w:rPr>
                <w:rFonts w:ascii="Arial" w:cs="Arial" w:eastAsia="Arial" w:hAnsi="Arial"/>
                <w:i/>
                <w:iCs/>
                <w:color w:val="444444"/>
                <w:sz w:val="18"/>
                <w:szCs w:val="18"/>
              </w:rPr>
              <w:t xml:space="preserve">AI Agent Inventory</w:t>
            </w:r>
          </w:p>
        </w:tc>
      </w:tr>
      <w:tr>
        <w:tc>
          <w:tcPr>
            <w:tcW w:type="dxa" w:w="1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L5</w:t>
            </w:r>
          </w:p>
          <w:p>
            <w:pPr>
              <w:spacing w:after="40" w:before="0"/>
              <w:jc w:val="left"/>
            </w:pPr>
            <w:r>
              <w:rPr>
                <w:rFonts w:ascii="Arial" w:cs="Arial" w:eastAsia="Arial" w:hAnsi="Arial"/>
                <w:i/>
                <w:iCs/>
                <w:color w:val="444444"/>
                <w:sz w:val="18"/>
                <w:szCs w:val="18"/>
              </w:rPr>
              <w:t xml:space="preserve">完全自動化</w:t>
            </w:r>
          </w:p>
        </w:tc>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AI自主決策、自設目標</w:t>
            </w:r>
          </w:p>
          <w:p>
            <w:pPr>
              <w:spacing w:after="40" w:before="0"/>
              <w:jc w:val="left"/>
            </w:pPr>
            <w:r>
              <w:rPr>
                <w:rFonts w:ascii="Arial" w:cs="Arial" w:eastAsia="Arial" w:hAnsi="Arial"/>
                <w:i/>
                <w:iCs/>
                <w:color w:val="444444"/>
                <w:sz w:val="18"/>
                <w:szCs w:val="18"/>
              </w:rPr>
              <w:t xml:space="preserve">AI autonomous, self-goal</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治理者、設定邊界</w:t>
            </w:r>
          </w:p>
          <w:p>
            <w:pPr>
              <w:spacing w:after="40" w:before="0"/>
              <w:jc w:val="left"/>
            </w:pPr>
            <w:r>
              <w:rPr>
                <w:rFonts w:ascii="Arial" w:cs="Arial" w:eastAsia="Arial" w:hAnsi="Arial"/>
                <w:i/>
                <w:iCs/>
                <w:color w:val="444444"/>
                <w:sz w:val="18"/>
                <w:szCs w:val="18"/>
              </w:rPr>
              <w:t xml:space="preserve">Governor, boundary setter</w:t>
            </w:r>
          </w:p>
        </w:tc>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尚未廣泛實現</w:t>
            </w:r>
          </w:p>
          <w:p>
            <w:pPr>
              <w:spacing w:after="40" w:before="0"/>
              <w:jc w:val="left"/>
            </w:pPr>
            <w:r>
              <w:rPr>
                <w:rFonts w:ascii="Arial" w:cs="Arial" w:eastAsia="Arial" w:hAnsi="Arial"/>
                <w:i/>
                <w:iCs/>
                <w:color w:val="444444"/>
                <w:sz w:val="18"/>
                <w:szCs w:val="18"/>
              </w:rPr>
              <w:t xml:space="preserve">Not Yet Widespread</w:t>
            </w:r>
          </w:p>
        </w:tc>
      </w:tr>
    </w:tbl>
    <w:p>
      <w:pPr>
        <w:spacing w:after="0" w:before="100"/>
      </w:pP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500"/>
        <w:gridCol w:w="3200"/>
        <w:gridCol w:w="3300"/>
      </w:tblGrid>
      <w:tr>
        <w:trPr>
          <w:tblHeader/>
        </w:trPr>
        <w:tc>
          <w:tcPr>
            <w:tcW w:type="dxa" w:w="25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維度 / Dimension</w:t>
            </w:r>
          </w:p>
        </w:tc>
        <w:tc>
          <w:tcPr>
            <w:tcW w:type="dxa" w:w="3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SAE自動駕駛 / SAE Driving</w:t>
            </w:r>
          </w:p>
        </w:tc>
        <w:tc>
          <w:tcPr>
            <w:tcW w:type="dxa" w:w="3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管理決策自動化 / Mgmt Decision Auto.</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分類對象</w:t>
            </w:r>
          </w:p>
          <w:p>
            <w:pPr>
              <w:spacing w:after="40" w:before="0"/>
              <w:jc w:val="left"/>
            </w:pPr>
            <w:r>
              <w:rPr>
                <w:rFonts w:ascii="Arial" w:cs="Arial" w:eastAsia="Arial" w:hAnsi="Arial"/>
                <w:i/>
                <w:iCs/>
                <w:color w:val="444444"/>
                <w:sz w:val="18"/>
                <w:szCs w:val="18"/>
              </w:rPr>
              <w:t xml:space="preserve">Classification Target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車輛駕駛任務</w:t>
            </w:r>
          </w:p>
          <w:p>
            <w:pPr>
              <w:spacing w:after="40" w:before="0"/>
              <w:jc w:val="left"/>
            </w:pPr>
            <w:r>
              <w:rPr>
                <w:rFonts w:ascii="Arial" w:cs="Arial" w:eastAsia="Arial" w:hAnsi="Arial"/>
                <w:i/>
                <w:iCs/>
                <w:color w:val="444444"/>
                <w:sz w:val="18"/>
                <w:szCs w:val="18"/>
              </w:rPr>
              <w:t xml:space="preserve">Vehicle Driving Tasks</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管理決策任務</w:t>
            </w:r>
          </w:p>
          <w:p>
            <w:pPr>
              <w:spacing w:after="40" w:before="0"/>
              <w:jc w:val="left"/>
            </w:pPr>
            <w:r>
              <w:rPr>
                <w:rFonts w:ascii="Arial" w:cs="Arial" w:eastAsia="Arial" w:hAnsi="Arial"/>
                <w:i/>
                <w:iCs/>
                <w:color w:val="444444"/>
                <w:sz w:val="18"/>
                <w:szCs w:val="18"/>
              </w:rPr>
              <w:t xml:space="preserve">Management Decision Tasks</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核心問題</w:t>
            </w:r>
          </w:p>
          <w:p>
            <w:pPr>
              <w:spacing w:after="40" w:before="0"/>
              <w:jc w:val="left"/>
            </w:pPr>
            <w:r>
              <w:rPr>
                <w:rFonts w:ascii="Arial" w:cs="Arial" w:eastAsia="Arial" w:hAnsi="Arial"/>
                <w:i/>
                <w:iCs/>
                <w:color w:val="444444"/>
                <w:sz w:val="18"/>
                <w:szCs w:val="18"/>
              </w:rPr>
              <w:t xml:space="preserve">Core Question</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誰在開車？</w:t>
            </w:r>
          </w:p>
          <w:p>
            <w:pPr>
              <w:spacing w:after="40" w:before="0"/>
              <w:jc w:val="left"/>
            </w:pPr>
            <w:r>
              <w:rPr>
                <w:rFonts w:ascii="Arial" w:cs="Arial" w:eastAsia="Arial" w:hAnsi="Arial"/>
                <w:i/>
                <w:iCs/>
                <w:color w:val="444444"/>
                <w:sz w:val="18"/>
                <w:szCs w:val="18"/>
              </w:rPr>
              <w:t xml:space="preserve">Who is driving?</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誰在做決策？</w:t>
            </w:r>
          </w:p>
          <w:p>
            <w:pPr>
              <w:spacing w:after="40" w:before="0"/>
              <w:jc w:val="left"/>
            </w:pPr>
            <w:r>
              <w:rPr>
                <w:rFonts w:ascii="Arial" w:cs="Arial" w:eastAsia="Arial" w:hAnsi="Arial"/>
                <w:i/>
                <w:iCs/>
                <w:color w:val="444444"/>
                <w:sz w:val="18"/>
                <w:szCs w:val="18"/>
              </w:rPr>
              <w:t xml:space="preserve">Who is deciding?</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責任歸屬</w:t>
            </w:r>
          </w:p>
          <w:p>
            <w:pPr>
              <w:spacing w:after="40" w:before="0"/>
              <w:jc w:val="left"/>
            </w:pPr>
            <w:r>
              <w:rPr>
                <w:rFonts w:ascii="Arial" w:cs="Arial" w:eastAsia="Arial" w:hAnsi="Arial"/>
                <w:i/>
                <w:iCs/>
                <w:color w:val="444444"/>
                <w:sz w:val="18"/>
                <w:szCs w:val="18"/>
              </w:rPr>
              <w:t xml:space="preserve">Accountability</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L0-2: 駕駛員; L3+: 系統</w:t>
            </w:r>
          </w:p>
          <w:p>
            <w:pPr>
              <w:spacing w:after="40" w:before="0"/>
              <w:jc w:val="left"/>
            </w:pPr>
            <w:r>
              <w:rPr>
                <w:rFonts w:ascii="Arial" w:cs="Arial" w:eastAsia="Arial" w:hAnsi="Arial"/>
                <w:i/>
                <w:iCs/>
                <w:color w:val="444444"/>
                <w:sz w:val="18"/>
                <w:szCs w:val="18"/>
              </w:rPr>
              <w:t xml:space="preserve">L0-2:Driver; L3+:System</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L0-2: 管理者; L3+: 系統+人</w:t>
            </w:r>
          </w:p>
          <w:p>
            <w:pPr>
              <w:spacing w:after="40" w:before="0"/>
              <w:jc w:val="left"/>
            </w:pPr>
            <w:r>
              <w:rPr>
                <w:rFonts w:ascii="Arial" w:cs="Arial" w:eastAsia="Arial" w:hAnsi="Arial"/>
                <w:i/>
                <w:iCs/>
                <w:color w:val="444444"/>
                <w:sz w:val="18"/>
                <w:szCs w:val="18"/>
              </w:rPr>
              <w:t xml:space="preserve">L0-2:Manager; L3+:System+Human</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退化策略</w:t>
            </w:r>
          </w:p>
          <w:p>
            <w:pPr>
              <w:spacing w:after="40" w:before="0"/>
              <w:jc w:val="left"/>
            </w:pPr>
            <w:r>
              <w:rPr>
                <w:rFonts w:ascii="Arial" w:cs="Arial" w:eastAsia="Arial" w:hAnsi="Arial"/>
                <w:i/>
                <w:iCs/>
                <w:color w:val="444444"/>
                <w:sz w:val="18"/>
                <w:szCs w:val="18"/>
              </w:rPr>
              <w:t xml:space="preserve">Fallback Strategy</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靠邊停車</w:t>
            </w:r>
          </w:p>
          <w:p>
            <w:pPr>
              <w:spacing w:after="40" w:before="0"/>
              <w:jc w:val="left"/>
            </w:pPr>
            <w:r>
              <w:rPr>
                <w:rFonts w:ascii="Arial" w:cs="Arial" w:eastAsia="Arial" w:hAnsi="Arial"/>
                <w:i/>
                <w:iCs/>
                <w:color w:val="444444"/>
                <w:sz w:val="18"/>
                <w:szCs w:val="18"/>
              </w:rPr>
              <w:t xml:space="preserve">Pull Over</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升級到人類處理</w:t>
            </w:r>
          </w:p>
          <w:p>
            <w:pPr>
              <w:spacing w:after="40" w:before="0"/>
              <w:jc w:val="left"/>
            </w:pPr>
            <w:r>
              <w:rPr>
                <w:rFonts w:ascii="Arial" w:cs="Arial" w:eastAsia="Arial" w:hAnsi="Arial"/>
                <w:i/>
                <w:iCs/>
                <w:color w:val="444444"/>
                <w:sz w:val="18"/>
                <w:szCs w:val="18"/>
              </w:rPr>
              <w:t xml:space="preserve">Escalate to Human</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產業影響</w:t>
            </w:r>
          </w:p>
          <w:p>
            <w:pPr>
              <w:spacing w:after="40" w:before="0"/>
              <w:jc w:val="left"/>
            </w:pPr>
            <w:r>
              <w:rPr>
                <w:rFonts w:ascii="Arial" w:cs="Arial" w:eastAsia="Arial" w:hAnsi="Arial"/>
                <w:i/>
                <w:iCs/>
                <w:color w:val="444444"/>
                <w:sz w:val="18"/>
                <w:szCs w:val="18"/>
              </w:rPr>
              <w:t xml:space="preserve">Industry Impact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重新定義汽車行業</w:t>
            </w:r>
          </w:p>
          <w:p>
            <w:pPr>
              <w:spacing w:after="40" w:before="0"/>
              <w:jc w:val="left"/>
            </w:pPr>
            <w:r>
              <w:rPr>
                <w:rFonts w:ascii="Arial" w:cs="Arial" w:eastAsia="Arial" w:hAnsi="Arial"/>
                <w:i/>
                <w:iCs/>
                <w:color w:val="444444"/>
                <w:sz w:val="18"/>
                <w:szCs w:val="18"/>
              </w:rPr>
              <w:t xml:space="preserve">Redefining Automotive</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重新定義專業服務</w:t>
            </w:r>
          </w:p>
          <w:p>
            <w:pPr>
              <w:spacing w:after="40" w:before="0"/>
              <w:jc w:val="left"/>
            </w:pPr>
            <w:r>
              <w:rPr>
                <w:rFonts w:ascii="Arial" w:cs="Arial" w:eastAsia="Arial" w:hAnsi="Arial"/>
                <w:i/>
                <w:iCs/>
                <w:color w:val="444444"/>
                <w:sz w:val="18"/>
                <w:szCs w:val="18"/>
              </w:rPr>
              <w:t xml:space="preserve">Redefining Prof. Services</w:t>
            </w:r>
          </w:p>
        </w:tc>
      </w:tr>
    </w:tbl>
    <w:p>
      <w:r>
        <w:br w:type="page"/>
      </w:r>
    </w:p>
    <w:p>
      <w:pPr>
        <w:pStyle w:val="Heading1"/>
        <w:spacing w:after="60" w:before="360"/>
      </w:pPr>
      <w:r>
        <w:rPr>
          <w:rFonts w:ascii="Microsoft YaHei" w:cs="Microsoft YaHei" w:eastAsia="Microsoft YaHei" w:hAnsi="Microsoft YaHei"/>
          <w:b/>
          <w:bCs/>
          <w:color w:val="000000"/>
          <w:sz w:val="36"/>
          <w:szCs w:val="36"/>
        </w:rPr>
        <w:t xml:space="preserve">第四章：從自動化到人機共生——演進路徑</w:t>
      </w:r>
    </w:p>
    <w:p>
      <w:pPr>
        <w:spacing w:after="240" w:before="0"/>
        <w:ind w:left="0"/>
      </w:pPr>
      <w:r>
        <w:rPr>
          <w:rFonts w:ascii="Arial" w:cs="Arial" w:eastAsia="Arial" w:hAnsi="Arial"/>
          <w:i/>
          <w:iCs/>
          <w:color w:val="444444"/>
          <w:sz w:val="28"/>
          <w:szCs w:val="28"/>
        </w:rPr>
        <w:t xml:space="preserve">Chapter 4: From Automation to Symbiosis — Evolutionary Pathway</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核心觀點：人機共生不是終態而是旅程——從RPA到AI輔助再到混合決策，每步都在積累組織AI能力。</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Symbiosis is not a destination but a journey — from RPA to AI-assisted to hybrid decisions, each step builds organizational AI capability.</w:t>
      </w:r>
    </w:p>
    <w:p>
      <w:pPr>
        <w:pStyle w:val="Heading2"/>
        <w:spacing w:after="60" w:before="240"/>
      </w:pPr>
      <w:r>
        <w:rPr>
          <w:rFonts w:ascii="Microsoft YaHei" w:cs="Microsoft YaHei" w:eastAsia="Microsoft YaHei" w:hAnsi="Microsoft YaHei"/>
          <w:b/>
          <w:bCs/>
          <w:color w:val="000000"/>
          <w:sz w:val="30"/>
          <w:szCs w:val="30"/>
        </w:rPr>
        <w:t xml:space="preserve">4.1 第一步：Workflow自動化與RAG</w:t>
      </w:r>
    </w:p>
    <w:p>
      <w:pPr>
        <w:spacing w:after="180" w:before="0"/>
        <w:ind w:left="360"/>
      </w:pPr>
      <w:r>
        <w:rPr>
          <w:rFonts w:ascii="Arial" w:cs="Arial" w:eastAsia="Arial" w:hAnsi="Arial"/>
          <w:i/>
          <w:iCs/>
          <w:color w:val="444444"/>
          <w:sz w:val="24"/>
          <w:szCs w:val="24"/>
        </w:rPr>
        <w:t xml:space="preserve">4.1 Step 1: Workflow Automation &amp; RAG</w:t>
      </w:r>
    </w:p>
    <w:p>
      <w:pPr>
        <w:spacing w:after="60" w:before="120"/>
        <w:jc w:val="both"/>
      </w:pPr>
      <w:r>
        <w:rPr>
          <w:rFonts w:ascii="Microsoft YaHei" w:cs="Microsoft YaHei" w:eastAsia="Microsoft YaHei" w:hAnsi="Microsoft YaHei"/>
          <w:b w:val="false"/>
          <w:bCs w:val="false"/>
          <w:color w:val="000000"/>
          <w:sz w:val="24"/>
          <w:szCs w:val="24"/>
        </w:rPr>
        <w:t xml:space="preserve">機器人流程自動化（RPA）是企業AI旅程的起點——「數字工人」通過預編程腳本執行重複、規則明確的任務。核心特徵是確定性：相同輸入永遠產生相同輸出。優勢是快速落地和清晰ROI；局限是缺乏上下文感知、無法適應意外。RAG（檢索增強生成）是向AI演進的關鍵橋樑，將企業知識庫與大語言模型連接，使AI能基於專有數據推理。</w:t>
      </w:r>
    </w:p>
    <w:p>
      <w:pPr>
        <w:spacing w:after="180" w:before="0"/>
        <w:jc w:val="both"/>
      </w:pPr>
      <w:r>
        <w:rPr>
          <w:rFonts w:ascii="Arial" w:cs="Arial" w:eastAsia="Arial" w:hAnsi="Arial"/>
          <w:i/>
          <w:iCs/>
          <w:color w:val="444444"/>
          <w:sz w:val="22"/>
          <w:szCs w:val="22"/>
        </w:rPr>
        <w:t xml:space="preserve">Robotic Process Automation (RPA) is the enterprise AI journey's starting point — 'digital workers' executing repetitive, rule-based tasks via pre-programmed scripts. Core feature: determinism. Advantages: rapid deployment and clear ROI. Limitations: no contextual awareness, cannot adapt to surprises. RAG (Retrieval-Augmented Generation) is the key bridge to AI evolution — connecting enterprise knowledge bases with LLMs, enabling AI to reason on proprietary data.</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300"/>
        <w:gridCol w:w="2300"/>
      </w:tblGrid>
      <w:tr>
        <w:trPr>
          <w:tblHeader/>
        </w:trPr>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維度 / Dimension</w:t>
            </w:r>
          </w:p>
        </w:tc>
        <w:tc>
          <w:tcPr>
            <w:tcW w:type="dxa" w:w="2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RPA
規則自動化</w:t>
            </w:r>
          </w:p>
        </w:tc>
        <w:tc>
          <w:tcPr>
            <w:tcW w:type="dxa" w:w="2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IPA
智能自動化</w:t>
            </w:r>
          </w:p>
        </w:tc>
        <w:tc>
          <w:tcPr>
            <w:tcW w:type="dxa" w:w="2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AI Agent
智能體</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核心能力</w:t>
            </w:r>
          </w:p>
          <w:p>
            <w:pPr>
              <w:spacing w:after="40" w:before="0"/>
              <w:jc w:val="left"/>
            </w:pPr>
            <w:r>
              <w:rPr>
                <w:rFonts w:ascii="Arial" w:cs="Arial" w:eastAsia="Arial" w:hAnsi="Arial"/>
                <w:i/>
                <w:iCs/>
                <w:color w:val="444444"/>
                <w:sz w:val="18"/>
                <w:szCs w:val="18"/>
              </w:rPr>
              <w:t xml:space="preserve">Capability</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規則執行</w:t>
            </w:r>
          </w:p>
          <w:p>
            <w:pPr>
              <w:spacing w:after="40" w:before="0"/>
              <w:jc w:val="left"/>
            </w:pPr>
            <w:r>
              <w:rPr>
                <w:rFonts w:ascii="Arial" w:cs="Arial" w:eastAsia="Arial" w:hAnsi="Arial"/>
                <w:i/>
                <w:iCs/>
                <w:color w:val="444444"/>
                <w:sz w:val="18"/>
                <w:szCs w:val="18"/>
              </w:rPr>
              <w:t xml:space="preserve">Rule Execution</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模式識別+執行</w:t>
            </w:r>
          </w:p>
          <w:p>
            <w:pPr>
              <w:spacing w:after="40" w:before="0"/>
              <w:jc w:val="left"/>
            </w:pPr>
            <w:r>
              <w:rPr>
                <w:rFonts w:ascii="Arial" w:cs="Arial" w:eastAsia="Arial" w:hAnsi="Arial"/>
                <w:i/>
                <w:iCs/>
                <w:color w:val="444444"/>
                <w:sz w:val="18"/>
                <w:szCs w:val="18"/>
              </w:rPr>
              <w:t xml:space="preserve">Pattern + Execute</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推理+規劃+執行</w:t>
            </w:r>
          </w:p>
          <w:p>
            <w:pPr>
              <w:spacing w:after="40" w:before="0"/>
              <w:jc w:val="left"/>
            </w:pPr>
            <w:r>
              <w:rPr>
                <w:rFonts w:ascii="Arial" w:cs="Arial" w:eastAsia="Arial" w:hAnsi="Arial"/>
                <w:i/>
                <w:iCs/>
                <w:color w:val="444444"/>
                <w:sz w:val="18"/>
                <w:szCs w:val="18"/>
              </w:rPr>
              <w:t xml:space="preserve">Reason + Plan + Execute</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處理對象</w:t>
            </w:r>
          </w:p>
          <w:p>
            <w:pPr>
              <w:spacing w:after="40" w:before="0"/>
              <w:jc w:val="left"/>
            </w:pPr>
            <w:r>
              <w:rPr>
                <w:rFonts w:ascii="Arial" w:cs="Arial" w:eastAsia="Arial" w:hAnsi="Arial"/>
                <w:i/>
                <w:iCs/>
                <w:color w:val="444444"/>
                <w:sz w:val="18"/>
                <w:szCs w:val="18"/>
              </w:rPr>
              <w:t xml:space="preserve">Target</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結構化確定性任務</w:t>
            </w:r>
          </w:p>
          <w:p>
            <w:pPr>
              <w:spacing w:after="40" w:before="0"/>
              <w:jc w:val="left"/>
            </w:pPr>
            <w:r>
              <w:rPr>
                <w:rFonts w:ascii="Arial" w:cs="Arial" w:eastAsia="Arial" w:hAnsi="Arial"/>
                <w:i/>
                <w:iCs/>
                <w:color w:val="444444"/>
                <w:sz w:val="18"/>
                <w:szCs w:val="18"/>
              </w:rPr>
              <w:t xml:space="preserve">Structured, Deterministic</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半結構化任務</w:t>
            </w:r>
          </w:p>
          <w:p>
            <w:pPr>
              <w:spacing w:after="40" w:before="0"/>
              <w:jc w:val="left"/>
            </w:pPr>
            <w:r>
              <w:rPr>
                <w:rFonts w:ascii="Arial" w:cs="Arial" w:eastAsia="Arial" w:hAnsi="Arial"/>
                <w:i/>
                <w:iCs/>
                <w:color w:val="444444"/>
                <w:sz w:val="18"/>
                <w:szCs w:val="18"/>
              </w:rPr>
              <w:t xml:space="preserve">Semi-structured</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非結構化複雜任務</w:t>
            </w:r>
          </w:p>
          <w:p>
            <w:pPr>
              <w:spacing w:after="40" w:before="0"/>
              <w:jc w:val="left"/>
            </w:pPr>
            <w:r>
              <w:rPr>
                <w:rFonts w:ascii="Arial" w:cs="Arial" w:eastAsia="Arial" w:hAnsi="Arial"/>
                <w:i/>
                <w:iCs/>
                <w:color w:val="444444"/>
                <w:sz w:val="18"/>
                <w:szCs w:val="18"/>
              </w:rPr>
              <w:t xml:space="preserve">Unstructured, Complex</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適應性</w:t>
            </w:r>
          </w:p>
          <w:p>
            <w:pPr>
              <w:spacing w:after="40" w:before="0"/>
              <w:jc w:val="left"/>
            </w:pPr>
            <w:r>
              <w:rPr>
                <w:rFonts w:ascii="Arial" w:cs="Arial" w:eastAsia="Arial" w:hAnsi="Arial"/>
                <w:i/>
                <w:iCs/>
                <w:color w:val="444444"/>
                <w:sz w:val="18"/>
                <w:szCs w:val="18"/>
              </w:rPr>
              <w:t xml:space="preserve">Adaptability</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無（固定流程）</w:t>
            </w:r>
          </w:p>
          <w:p>
            <w:pPr>
              <w:spacing w:after="40" w:before="0"/>
              <w:jc w:val="left"/>
            </w:pPr>
            <w:r>
              <w:rPr>
                <w:rFonts w:ascii="Arial" w:cs="Arial" w:eastAsia="Arial" w:hAnsi="Arial"/>
                <w:i/>
                <w:iCs/>
                <w:color w:val="444444"/>
                <w:sz w:val="18"/>
                <w:szCs w:val="18"/>
              </w:rPr>
              <w:t xml:space="preserve">None (Fixed)</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有限（模型範圍內）</w:t>
            </w:r>
          </w:p>
          <w:p>
            <w:pPr>
              <w:spacing w:after="40" w:before="0"/>
              <w:jc w:val="left"/>
            </w:pPr>
            <w:r>
              <w:rPr>
                <w:rFonts w:ascii="Arial" w:cs="Arial" w:eastAsia="Arial" w:hAnsi="Arial"/>
                <w:i/>
                <w:iCs/>
                <w:color w:val="444444"/>
                <w:sz w:val="18"/>
                <w:szCs w:val="18"/>
              </w:rPr>
              <w:t xml:space="preserve">Limited</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強（跨系統上下文）</w:t>
            </w:r>
          </w:p>
          <w:p>
            <w:pPr>
              <w:spacing w:after="40" w:before="0"/>
              <w:jc w:val="left"/>
            </w:pPr>
            <w:r>
              <w:rPr>
                <w:rFonts w:ascii="Arial" w:cs="Arial" w:eastAsia="Arial" w:hAnsi="Arial"/>
                <w:i/>
                <w:iCs/>
                <w:color w:val="444444"/>
                <w:sz w:val="18"/>
                <w:szCs w:val="18"/>
              </w:rPr>
              <w:t xml:space="preserve">Strong</w:t>
            </w:r>
          </w:p>
        </w:tc>
      </w:tr>
      <w:tr>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人類參與</w:t>
            </w:r>
          </w:p>
          <w:p>
            <w:pPr>
              <w:spacing w:after="40" w:before="0"/>
              <w:jc w:val="left"/>
            </w:pPr>
            <w:r>
              <w:rPr>
                <w:rFonts w:ascii="Arial" w:cs="Arial" w:eastAsia="Arial" w:hAnsi="Arial"/>
                <w:i/>
                <w:iCs/>
                <w:color w:val="444444"/>
                <w:sz w:val="18"/>
                <w:szCs w:val="18"/>
              </w:rPr>
              <w:t xml:space="preserve">Human Role</w:t>
            </w:r>
          </w:p>
        </w:tc>
        <w:tc>
          <w:tcPr>
            <w:tcW w:type="dxa" w:w="2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無需（全自動）</w:t>
            </w:r>
          </w:p>
          <w:p>
            <w:pPr>
              <w:spacing w:after="40" w:before="0"/>
              <w:jc w:val="left"/>
            </w:pPr>
            <w:r>
              <w:rPr>
                <w:rFonts w:ascii="Arial" w:cs="Arial" w:eastAsia="Arial" w:hAnsi="Arial"/>
                <w:i/>
                <w:iCs/>
                <w:color w:val="444444"/>
                <w:sz w:val="18"/>
                <w:szCs w:val="18"/>
              </w:rPr>
              <w:t xml:space="preserve">None</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監控+例外處理</w:t>
            </w:r>
          </w:p>
          <w:p>
            <w:pPr>
              <w:spacing w:after="40" w:before="0"/>
              <w:jc w:val="left"/>
            </w:pPr>
            <w:r>
              <w:rPr>
                <w:rFonts w:ascii="Arial" w:cs="Arial" w:eastAsia="Arial" w:hAnsi="Arial"/>
                <w:i/>
                <w:iCs/>
                <w:color w:val="444444"/>
                <w:sz w:val="18"/>
                <w:szCs w:val="18"/>
              </w:rPr>
              <w:t xml:space="preserve">Monitor + Exceptions</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協作+審批</w:t>
            </w:r>
          </w:p>
          <w:p>
            <w:pPr>
              <w:spacing w:after="40" w:before="0"/>
              <w:jc w:val="left"/>
            </w:pPr>
            <w:r>
              <w:rPr>
                <w:rFonts w:ascii="Arial" w:cs="Arial" w:eastAsia="Arial" w:hAnsi="Arial"/>
                <w:i/>
                <w:iCs/>
                <w:color w:val="444444"/>
                <w:sz w:val="18"/>
                <w:szCs w:val="18"/>
              </w:rPr>
              <w:t xml:space="preserve">Collaborate + Approve</w:t>
            </w:r>
          </w:p>
        </w:tc>
      </w:tr>
      <w:tr>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ROI時間</w:t>
            </w:r>
          </w:p>
          <w:p>
            <w:pPr>
              <w:spacing w:after="40" w:before="0"/>
              <w:jc w:val="left"/>
            </w:pPr>
            <w:r>
              <w:rPr>
                <w:rFonts w:ascii="Arial" w:cs="Arial" w:eastAsia="Arial" w:hAnsi="Arial"/>
                <w:i/>
                <w:iCs/>
                <w:color w:val="444444"/>
                <w:sz w:val="18"/>
                <w:szCs w:val="18"/>
              </w:rPr>
              <w:t xml:space="preserve">ROI Timeline</w:t>
            </w:r>
          </w:p>
        </w:tc>
        <w:tc>
          <w:tcPr>
            <w:tcW w:type="dxa" w:w="2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3-6個月</w:t>
            </w:r>
          </w:p>
          <w:p>
            <w:pPr>
              <w:spacing w:after="40" w:before="0"/>
              <w:jc w:val="left"/>
            </w:pPr>
            <w:r>
              <w:rPr>
                <w:rFonts w:ascii="Arial" w:cs="Arial" w:eastAsia="Arial" w:hAnsi="Arial"/>
                <w:i/>
                <w:iCs/>
                <w:color w:val="444444"/>
                <w:sz w:val="18"/>
                <w:szCs w:val="18"/>
              </w:rPr>
              <w:t xml:space="preserve">3-6 Months</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6-12個月</w:t>
            </w:r>
          </w:p>
          <w:p>
            <w:pPr>
              <w:spacing w:after="40" w:before="0"/>
              <w:jc w:val="left"/>
            </w:pPr>
            <w:r>
              <w:rPr>
                <w:rFonts w:ascii="Arial" w:cs="Arial" w:eastAsia="Arial" w:hAnsi="Arial"/>
                <w:i/>
                <w:iCs/>
                <w:color w:val="444444"/>
                <w:sz w:val="18"/>
                <w:szCs w:val="18"/>
              </w:rPr>
              <w:t xml:space="preserve">6-12 Months</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12-24個月</w:t>
            </w:r>
          </w:p>
          <w:p>
            <w:pPr>
              <w:spacing w:after="40" w:before="0"/>
              <w:jc w:val="left"/>
            </w:pPr>
            <w:r>
              <w:rPr>
                <w:rFonts w:ascii="Arial" w:cs="Arial" w:eastAsia="Arial" w:hAnsi="Arial"/>
                <w:i/>
                <w:iCs/>
                <w:color w:val="444444"/>
                <w:sz w:val="18"/>
                <w:szCs w:val="18"/>
              </w:rPr>
              <w:t xml:space="preserve">12-24 Months</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4.2 第二步：AI輔助決策</w:t>
      </w:r>
    </w:p>
    <w:p>
      <w:pPr>
        <w:spacing w:after="180" w:before="0"/>
        <w:ind w:left="360"/>
      </w:pPr>
      <w:r>
        <w:rPr>
          <w:rFonts w:ascii="Arial" w:cs="Arial" w:eastAsia="Arial" w:hAnsi="Arial"/>
          <w:i/>
          <w:iCs/>
          <w:color w:val="444444"/>
          <w:sz w:val="24"/>
          <w:szCs w:val="24"/>
        </w:rPr>
        <w:t xml:space="preserve">4.2 Step 2: AI-Assisted Decision Making</w:t>
      </w:r>
    </w:p>
    <w:p>
      <w:pPr>
        <w:spacing w:after="60" w:before="120"/>
        <w:jc w:val="both"/>
      </w:pPr>
      <w:r>
        <w:rPr>
          <w:rFonts w:ascii="Microsoft YaHei" w:cs="Microsoft YaHei" w:eastAsia="Microsoft YaHei" w:hAnsi="Microsoft YaHei"/>
          <w:b w:val="false"/>
          <w:bCs w:val="false"/>
          <w:color w:val="000000"/>
          <w:sz w:val="24"/>
          <w:szCs w:val="24"/>
        </w:rPr>
        <w:t xml:space="preserve">智能自動化（IPA）是RPA與AI的融合階段，標誌著從「自動執行」向「輔助決策」的躍升。AI增強的自動化系統整合了機器學習、自然語言處理和計算機視覺能力，處理半結構化任務並進行分類和預測。Brynjolfsson等（2023）提供了最有力的實證：AI助手使客戶支持效率提升14%，低技能員工提升高達34%。AI是「能力均衡器」——讓新手快速接近專家水平。</w:t>
      </w:r>
    </w:p>
    <w:p>
      <w:pPr>
        <w:spacing w:after="180" w:before="0"/>
        <w:jc w:val="both"/>
      </w:pPr>
      <w:r>
        <w:rPr>
          <w:rFonts w:ascii="Arial" w:cs="Arial" w:eastAsia="Arial" w:hAnsi="Arial"/>
          <w:i/>
          <w:iCs/>
          <w:color w:val="444444"/>
          <w:sz w:val="22"/>
          <w:szCs w:val="22"/>
        </w:rPr>
        <w:t xml:space="preserve">Intelligent Process Automation (IPA) fuses RPA with AI, marking the leap from 'automated execution' to 'assisted decision-making.' AI-enhanced systems integrate ML, NLP, and computer vision for classification and prediction. Brynjolfsson et al. (2023) provides strongest evidence: AI improves efficiency 14%, low-skilled workers up to 34%. AI is a 'capability equalizer' — enabling novices to rapidly approach expert levels.</w:t>
      </w:r>
    </w:p>
    <w:p>
      <w:pPr>
        <w:pStyle w:val="Heading2"/>
        <w:spacing w:after="60" w:before="240"/>
      </w:pPr>
      <w:r>
        <w:rPr>
          <w:rFonts w:ascii="Microsoft YaHei" w:cs="Microsoft YaHei" w:eastAsia="Microsoft YaHei" w:hAnsi="Microsoft YaHei"/>
          <w:b/>
          <w:bCs/>
          <w:color w:val="000000"/>
          <w:sz w:val="30"/>
          <w:szCs w:val="30"/>
        </w:rPr>
        <w:t xml:space="preserve">4.3 第三步：混合人機決策</w:t>
      </w:r>
    </w:p>
    <w:p>
      <w:pPr>
        <w:spacing w:after="180" w:before="0"/>
        <w:ind w:left="360"/>
      </w:pPr>
      <w:r>
        <w:rPr>
          <w:rFonts w:ascii="Arial" w:cs="Arial" w:eastAsia="Arial" w:hAnsi="Arial"/>
          <w:i/>
          <w:iCs/>
          <w:color w:val="444444"/>
          <w:sz w:val="24"/>
          <w:szCs w:val="24"/>
        </w:rPr>
        <w:t xml:space="preserve">4.3 Step 3: Hybrid Human-AI Decision Making</w:t>
      </w:r>
    </w:p>
    <w:p>
      <w:pPr>
        <w:spacing w:after="60" w:before="120"/>
        <w:jc w:val="both"/>
      </w:pPr>
      <w:r>
        <w:rPr>
          <w:rFonts w:ascii="Microsoft YaHei" w:cs="Microsoft YaHei" w:eastAsia="Microsoft YaHei" w:hAnsi="Microsoft YaHei"/>
          <w:b w:val="false"/>
          <w:bCs w:val="false"/>
          <w:color w:val="000000"/>
          <w:sz w:val="24"/>
          <w:szCs w:val="24"/>
        </w:rPr>
        <w:t xml:space="preserve">智能體（Intelligent Agents）的出現標誌著進入第三階段。不同於狹隘的AI機器人，智能體運用大語言模型結合多種AI能力，在複雜多步驟流程中做上下文相關的決策。質變在於：跨系統上下文保持、從執行到推理、人在回路的治理。在建築工程領域，對應「自適應業務運營」——AI成為「流程優化的大腦」，持續分析數據、識別瓶頸、動態調整規則。ALICE Technologies與McKinsey在35+項目中實現高達20%工期壓縮。</w:t>
      </w:r>
    </w:p>
    <w:p>
      <w:pPr>
        <w:spacing w:after="180" w:before="0"/>
        <w:jc w:val="both"/>
      </w:pPr>
      <w:r>
        <w:rPr>
          <w:rFonts w:ascii="Arial" w:cs="Arial" w:eastAsia="Arial" w:hAnsi="Arial"/>
          <w:i/>
          <w:iCs/>
          <w:color w:val="444444"/>
          <w:sz w:val="22"/>
          <w:szCs w:val="22"/>
        </w:rPr>
        <w:t xml:space="preserve">Intelligent Agents mark the third stage. Unlike narrow AI robots, agents employ LLMs with multiple AI capabilities for contextually relevant decisions in complex processes. Qualitative shifts: cross-system context retention, execution to reasoning, human-in-the-loop governance. In AEC, this corresponds to 'adaptive business operations' — AI becomes the 'optimization brain.' ALICE Technologies and McKinsey achieved up to 20% schedule compression across 35+ projects.</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000"/>
        <w:gridCol w:w="2300"/>
        <w:gridCol w:w="2400"/>
        <w:gridCol w:w="2300"/>
      </w:tblGrid>
      <w:tr>
        <w:trPr>
          <w:tblHeader/>
        </w:trPr>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維度 / Dimension</w:t>
            </w:r>
          </w:p>
        </w:tc>
        <w:tc>
          <w:tcPr>
            <w:tcW w:type="dxa" w:w="2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第一階段
Phase 1: RPA+RAG</w:t>
            </w:r>
          </w:p>
        </w:tc>
        <w:tc>
          <w:tcPr>
            <w:tcW w:type="dxa" w:w="2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第二階段
Phase 2: AI-Assisted</w:t>
            </w:r>
          </w:p>
        </w:tc>
        <w:tc>
          <w:tcPr>
            <w:tcW w:type="dxa" w:w="2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第三階段
Phase 3: Hybrid Decisions</w:t>
            </w:r>
          </w:p>
        </w:tc>
      </w:tr>
      <w:tr>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核心特徵</w:t>
            </w:r>
          </w:p>
          <w:p>
            <w:pPr>
              <w:spacing w:after="40" w:before="0"/>
              <w:jc w:val="left"/>
            </w:pPr>
            <w:r>
              <w:rPr>
                <w:rFonts w:ascii="Arial" w:cs="Arial" w:eastAsia="Arial" w:hAnsi="Arial"/>
                <w:i/>
                <w:iCs/>
                <w:color w:val="444444"/>
                <w:sz w:val="18"/>
                <w:szCs w:val="18"/>
              </w:rPr>
              <w:t xml:space="preserve">Feature</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規則驅動</w:t>
            </w:r>
          </w:p>
          <w:p>
            <w:pPr>
              <w:spacing w:after="40" w:before="0"/>
              <w:jc w:val="left"/>
            </w:pPr>
            <w:r>
              <w:rPr>
                <w:rFonts w:ascii="Arial" w:cs="Arial" w:eastAsia="Arial" w:hAnsi="Arial"/>
                <w:i/>
                <w:iCs/>
                <w:color w:val="444444"/>
                <w:sz w:val="18"/>
                <w:szCs w:val="18"/>
              </w:rPr>
              <w:t xml:space="preserve">Rule-Driven</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數據驅動</w:t>
            </w:r>
          </w:p>
          <w:p>
            <w:pPr>
              <w:spacing w:after="40" w:before="0"/>
              <w:jc w:val="left"/>
            </w:pPr>
            <w:r>
              <w:rPr>
                <w:rFonts w:ascii="Arial" w:cs="Arial" w:eastAsia="Arial" w:hAnsi="Arial"/>
                <w:i/>
                <w:iCs/>
                <w:color w:val="444444"/>
                <w:sz w:val="18"/>
                <w:szCs w:val="18"/>
              </w:rPr>
              <w:t xml:space="preserve">Data-Driven</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認知驅動</w:t>
            </w:r>
          </w:p>
          <w:p>
            <w:pPr>
              <w:spacing w:after="40" w:before="0"/>
              <w:jc w:val="left"/>
            </w:pPr>
            <w:r>
              <w:rPr>
                <w:rFonts w:ascii="Arial" w:cs="Arial" w:eastAsia="Arial" w:hAnsi="Arial"/>
                <w:i/>
                <w:iCs/>
                <w:color w:val="444444"/>
                <w:sz w:val="18"/>
                <w:szCs w:val="18"/>
              </w:rPr>
              <w:t xml:space="preserve">Cognition-Driven</w:t>
            </w:r>
          </w:p>
        </w:tc>
      </w:tr>
      <w:tr>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決策模式</w:t>
            </w:r>
          </w:p>
          <w:p>
            <w:pPr>
              <w:spacing w:after="40" w:before="0"/>
              <w:jc w:val="left"/>
            </w:pPr>
            <w:r>
              <w:rPr>
                <w:rFonts w:ascii="Arial" w:cs="Arial" w:eastAsia="Arial" w:hAnsi="Arial"/>
                <w:i/>
                <w:iCs/>
                <w:color w:val="444444"/>
                <w:sz w:val="18"/>
                <w:szCs w:val="18"/>
              </w:rPr>
              <w:t xml:space="preserve">Decision Mode</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預定義規則</w:t>
            </w:r>
          </w:p>
          <w:p>
            <w:pPr>
              <w:spacing w:after="40" w:before="0"/>
              <w:jc w:val="left"/>
            </w:pPr>
            <w:r>
              <w:rPr>
                <w:rFonts w:ascii="Arial" w:cs="Arial" w:eastAsia="Arial" w:hAnsi="Arial"/>
                <w:i/>
                <w:iCs/>
                <w:color w:val="444444"/>
                <w:sz w:val="18"/>
                <w:szCs w:val="18"/>
              </w:rPr>
              <w:t xml:space="preserve">Predefined Rules</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AI建議+人類選擇</w:t>
            </w:r>
          </w:p>
          <w:p>
            <w:pPr>
              <w:spacing w:after="40" w:before="0"/>
              <w:jc w:val="left"/>
            </w:pPr>
            <w:r>
              <w:rPr>
                <w:rFonts w:ascii="Arial" w:cs="Arial" w:eastAsia="Arial" w:hAnsi="Arial"/>
                <w:i/>
                <w:iCs/>
                <w:color w:val="444444"/>
                <w:sz w:val="18"/>
                <w:szCs w:val="18"/>
              </w:rPr>
              <w:t xml:space="preserve">AI Recs + Human</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人機共同推理</w:t>
            </w:r>
          </w:p>
          <w:p>
            <w:pPr>
              <w:spacing w:after="40" w:before="0"/>
              <w:jc w:val="left"/>
            </w:pPr>
            <w:r>
              <w:rPr>
                <w:rFonts w:ascii="Arial" w:cs="Arial" w:eastAsia="Arial" w:hAnsi="Arial"/>
                <w:i/>
                <w:iCs/>
                <w:color w:val="444444"/>
                <w:sz w:val="18"/>
                <w:szCs w:val="18"/>
              </w:rPr>
              <w:t xml:space="preserve">Joint Reasoning</w:t>
            </w:r>
          </w:p>
        </w:tc>
      </w:tr>
      <w:tr>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價值來源</w:t>
            </w:r>
          </w:p>
          <w:p>
            <w:pPr>
              <w:spacing w:after="40" w:before="0"/>
              <w:jc w:val="left"/>
            </w:pPr>
            <w:r>
              <w:rPr>
                <w:rFonts w:ascii="Arial" w:cs="Arial" w:eastAsia="Arial" w:hAnsi="Arial"/>
                <w:i/>
                <w:iCs/>
                <w:color w:val="444444"/>
                <w:sz w:val="18"/>
                <w:szCs w:val="18"/>
              </w:rPr>
              <w:t xml:space="preserve">Value Source</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消除重複</w:t>
            </w:r>
          </w:p>
          <w:p>
            <w:pPr>
              <w:spacing w:after="40" w:before="0"/>
              <w:jc w:val="left"/>
            </w:pPr>
            <w:r>
              <w:rPr>
                <w:rFonts w:ascii="Arial" w:cs="Arial" w:eastAsia="Arial" w:hAnsi="Arial"/>
                <w:i/>
                <w:iCs/>
                <w:color w:val="444444"/>
                <w:sz w:val="18"/>
                <w:szCs w:val="18"/>
              </w:rPr>
              <w:t xml:space="preserve">Eliminate Repetition</w:t>
            </w:r>
          </w:p>
        </w:tc>
        <w:tc>
          <w:tcPr>
            <w:tcW w:type="dxa" w:w="2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提升決策速度</w:t>
            </w:r>
          </w:p>
          <w:p>
            <w:pPr>
              <w:spacing w:after="40" w:before="0"/>
              <w:jc w:val="left"/>
            </w:pPr>
            <w:r>
              <w:rPr>
                <w:rFonts w:ascii="Arial" w:cs="Arial" w:eastAsia="Arial" w:hAnsi="Arial"/>
                <w:i/>
                <w:iCs/>
                <w:color w:val="444444"/>
                <w:sz w:val="18"/>
                <w:szCs w:val="18"/>
              </w:rPr>
              <w:t xml:space="preserve">Improve Speed</w:t>
            </w:r>
          </w:p>
        </w:tc>
        <w:tc>
          <w:tcPr>
            <w:tcW w:type="dxa" w:w="2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突破認知邊界</w:t>
            </w:r>
          </w:p>
          <w:p>
            <w:pPr>
              <w:spacing w:after="40" w:before="0"/>
              <w:jc w:val="left"/>
            </w:pPr>
            <w:r>
              <w:rPr>
                <w:rFonts w:ascii="Arial" w:cs="Arial" w:eastAsia="Arial" w:hAnsi="Arial"/>
                <w:i/>
                <w:iCs/>
                <w:color w:val="444444"/>
                <w:sz w:val="18"/>
                <w:szCs w:val="18"/>
              </w:rPr>
              <w:t xml:space="preserve">Transcend Limits</w:t>
            </w:r>
          </w:p>
        </w:tc>
      </w:tr>
      <w:tr>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組織影響</w:t>
            </w:r>
          </w:p>
          <w:p>
            <w:pPr>
              <w:spacing w:after="40" w:before="0"/>
              <w:jc w:val="left"/>
            </w:pPr>
            <w:r>
              <w:rPr>
                <w:rFonts w:ascii="Arial" w:cs="Arial" w:eastAsia="Arial" w:hAnsi="Arial"/>
                <w:i/>
                <w:iCs/>
                <w:color w:val="444444"/>
                <w:sz w:val="18"/>
                <w:szCs w:val="18"/>
              </w:rPr>
              <w:t xml:space="preserve">Org. Impact</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流程效率提升</w:t>
            </w:r>
          </w:p>
          <w:p>
            <w:pPr>
              <w:spacing w:after="40" w:before="0"/>
              <w:jc w:val="left"/>
            </w:pPr>
            <w:r>
              <w:rPr>
                <w:rFonts w:ascii="Arial" w:cs="Arial" w:eastAsia="Arial" w:hAnsi="Arial"/>
                <w:i/>
                <w:iCs/>
                <w:color w:val="444444"/>
                <w:sz w:val="18"/>
                <w:szCs w:val="18"/>
              </w:rPr>
              <w:t xml:space="preserve">Process Efficiency</w:t>
            </w:r>
          </w:p>
        </w:tc>
        <w:tc>
          <w:tcPr>
            <w:tcW w:type="dxa" w:w="2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決策品質提升</w:t>
            </w:r>
          </w:p>
          <w:p>
            <w:pPr>
              <w:spacing w:after="40" w:before="0"/>
              <w:jc w:val="left"/>
            </w:pPr>
            <w:r>
              <w:rPr>
                <w:rFonts w:ascii="Arial" w:cs="Arial" w:eastAsia="Arial" w:hAnsi="Arial"/>
                <w:i/>
                <w:iCs/>
                <w:color w:val="444444"/>
                <w:sz w:val="18"/>
                <w:szCs w:val="18"/>
              </w:rPr>
              <w:t xml:space="preserve">Decision Quality</w:t>
            </w:r>
          </w:p>
        </w:tc>
        <w:tc>
          <w:tcPr>
            <w:tcW w:type="dxa" w:w="2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管理方法論重構</w:t>
            </w:r>
          </w:p>
          <w:p>
            <w:pPr>
              <w:spacing w:after="40" w:before="0"/>
              <w:jc w:val="left"/>
            </w:pPr>
            <w:r>
              <w:rPr>
                <w:rFonts w:ascii="Arial" w:cs="Arial" w:eastAsia="Arial" w:hAnsi="Arial"/>
                <w:i/>
                <w:iCs/>
                <w:color w:val="444444"/>
                <w:sz w:val="18"/>
                <w:szCs w:val="18"/>
              </w:rPr>
              <w:t xml:space="preserve">Mgmt. Reset</w:t>
            </w:r>
          </w:p>
        </w:tc>
      </w:tr>
      <w:tr>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自動化級別</w:t>
            </w:r>
          </w:p>
          <w:p>
            <w:pPr>
              <w:spacing w:after="40" w:before="0"/>
              <w:jc w:val="left"/>
            </w:pPr>
            <w:r>
              <w:rPr>
                <w:rFonts w:ascii="Arial" w:cs="Arial" w:eastAsia="Arial" w:hAnsi="Arial"/>
                <w:i/>
                <w:iCs/>
                <w:color w:val="444444"/>
                <w:sz w:val="18"/>
                <w:szCs w:val="18"/>
              </w:rPr>
              <w:t xml:space="preserve">Auto. Level</w:t>
            </w:r>
          </w:p>
        </w:tc>
        <w:tc>
          <w:tcPr>
            <w:tcW w:type="dxa" w:w="23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L1-L2</w:t>
            </w:r>
          </w:p>
        </w:tc>
        <w:tc>
          <w:tcPr>
            <w:tcW w:type="dxa" w:w="24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L2-L3</w:t>
            </w:r>
          </w:p>
        </w:tc>
        <w:tc>
          <w:tcPr>
            <w:tcW w:type="dxa" w:w="2300"/>
            <w:tcBorders>
              <w:top w:val="single" w:color="CCCCCC" w:sz="1"/>
              <w:left w:val="single" w:color="CCCCCC" w:sz="1"/>
              <w:bottom w:val="single" w:color="CCCCCC" w:sz="1"/>
              <w:right w:val="single" w:color="CCCCCC" w:sz="1"/>
            </w:tcBorders>
            <w:vAlign w:val="center"/>
          </w:tcPr>
          <w:p>
            <w:pPr>
              <w:spacing w:after="40" w:before="40"/>
              <w:jc w:val="left"/>
            </w:pPr>
            <w:r>
              <w:rPr>
                <w:rFonts w:ascii="Microsoft YaHei" w:cs="Microsoft YaHei" w:eastAsia="Microsoft YaHei" w:hAnsi="Microsoft YaHei"/>
                <w:b w:val="false"/>
                <w:bCs w:val="false"/>
                <w:color w:val="000000"/>
                <w:sz w:val="20"/>
                <w:szCs w:val="20"/>
              </w:rPr>
              <w:t xml:space="preserve">L3-L5</w:t>
            </w:r>
          </w:p>
        </w:tc>
      </w:tr>
    </w:tbl>
    <w:p>
      <w:r>
        <w:br w:type="page"/>
      </w:r>
    </w:p>
    <w:p>
      <w:pPr>
        <w:pStyle w:val="Heading1"/>
        <w:spacing w:after="60" w:before="360"/>
      </w:pPr>
      <w:r>
        <w:rPr>
          <w:rFonts w:ascii="Microsoft YaHei" w:cs="Microsoft YaHei" w:eastAsia="Microsoft YaHei" w:hAnsi="Microsoft YaHei"/>
          <w:b/>
          <w:bCs/>
          <w:color w:val="000000"/>
          <w:sz w:val="36"/>
          <w:szCs w:val="36"/>
        </w:rPr>
        <w:t xml:space="preserve">第五章：為什麼自建，而非依賴SaaS</w:t>
      </w:r>
    </w:p>
    <w:p>
      <w:pPr>
        <w:spacing w:after="240" w:before="0"/>
        <w:ind w:left="0"/>
      </w:pPr>
      <w:r>
        <w:rPr>
          <w:rFonts w:ascii="Arial" w:cs="Arial" w:eastAsia="Arial" w:hAnsi="Arial"/>
          <w:i/>
          <w:iCs/>
          <w:color w:val="444444"/>
          <w:sz w:val="28"/>
          <w:szCs w:val="28"/>
        </w:rPr>
        <w:t xml:space="preserve">Chapter 5: Why Build In-House, Not Rely on SaaS</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核心觀點：每1美元模型開發需3美元變更管理。SaaS只負責前者，後者必須自建。70%企業正將外包業務內部化。</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USD 1 for model development requires USD 3 for change management. SaaS covers only the former; the latter must be built in-house. 70% of firms are insourcing.</w:t>
      </w:r>
    </w:p>
    <w:p>
      <w:pPr>
        <w:pStyle w:val="Heading2"/>
        <w:spacing w:after="60" w:before="240"/>
      </w:pPr>
      <w:r>
        <w:rPr>
          <w:rFonts w:ascii="Microsoft YaHei" w:cs="Microsoft YaHei" w:eastAsia="Microsoft YaHei" w:hAnsi="Microsoft YaHei"/>
          <w:b/>
          <w:bCs/>
          <w:color w:val="000000"/>
          <w:sz w:val="30"/>
          <w:szCs w:val="30"/>
        </w:rPr>
        <w:t xml:space="preserve">5.1 SaaS市場的疲勞與局限</w:t>
      </w:r>
    </w:p>
    <w:p>
      <w:pPr>
        <w:spacing w:after="180" w:before="0"/>
        <w:ind w:left="360"/>
      </w:pPr>
      <w:r>
        <w:rPr>
          <w:rFonts w:ascii="Arial" w:cs="Arial" w:eastAsia="Arial" w:hAnsi="Arial"/>
          <w:i/>
          <w:iCs/>
          <w:color w:val="444444"/>
          <w:sz w:val="24"/>
          <w:szCs w:val="24"/>
        </w:rPr>
        <w:t xml:space="preserve">5.1 SaaS Market Fatigue and Limitations</w:t>
      </w:r>
    </w:p>
    <w:p>
      <w:pPr>
        <w:spacing w:after="60" w:before="120"/>
        <w:jc w:val="both"/>
      </w:pPr>
      <w:r>
        <w:rPr>
          <w:rFonts w:ascii="Microsoft YaHei" w:cs="Microsoft YaHei" w:eastAsia="Microsoft YaHei" w:hAnsi="Microsoft YaHei"/>
          <w:b w:val="false"/>
          <w:bCs w:val="false"/>
          <w:color w:val="000000"/>
          <w:sz w:val="24"/>
          <w:szCs w:val="24"/>
        </w:rPr>
        <w:t xml:space="preserve">企業軟件市場正經歷深刻範式轉移。McKinsey對150家軟件供應商和50多家AI產品公司的研究揭示三大挑戰：僅30%公司發布可量化美元ROI；消費式定價使企業難以預算；試點後持續採用率低。核心矛盾是：通用SaaS的「一刀切」與企業業務的高度多樣性之間存在根本性錯配。近30%的企業將需求碎片化列為頭號難題。</w:t>
      </w:r>
    </w:p>
    <w:p>
      <w:pPr>
        <w:spacing w:after="180" w:before="0"/>
        <w:jc w:val="both"/>
      </w:pPr>
      <w:r>
        <w:rPr>
          <w:rFonts w:ascii="Arial" w:cs="Arial" w:eastAsia="Arial" w:hAnsi="Arial"/>
          <w:i/>
          <w:iCs/>
          <w:color w:val="444444"/>
          <w:sz w:val="22"/>
          <w:szCs w:val="22"/>
        </w:rPr>
        <w:t xml:space="preserve">Enterprise software is undergoing a paradigm shift. McKinsey's research of 150 vendors and 50+ AI companies reveals three challenges: only 30% report quantifiable USD ROI; consumption pricing makes budgeting difficult; low post-pilot adoption. Core contradiction: SaaS's 'one-size-fits-all' fundamentally mismatches enterprise diversity. Nearly 30% cite demand fragmentation as the #1 difficulty.</w:t>
      </w:r>
    </w:p>
    <w:p>
      <w:pPr>
        <w:pStyle w:val="Heading2"/>
        <w:spacing w:after="60" w:before="240"/>
      </w:pPr>
      <w:r>
        <w:rPr>
          <w:rFonts w:ascii="Microsoft YaHei" w:cs="Microsoft YaHei" w:eastAsia="Microsoft YaHei" w:hAnsi="Microsoft YaHei"/>
          <w:b/>
          <w:bCs/>
          <w:color w:val="000000"/>
          <w:sz w:val="30"/>
          <w:szCs w:val="30"/>
        </w:rPr>
        <w:t xml:space="preserve">5.2 自建AI團隊的戰略價值</w:t>
      </w:r>
    </w:p>
    <w:p>
      <w:pPr>
        <w:spacing w:after="180" w:before="0"/>
        <w:ind w:left="360"/>
      </w:pPr>
      <w:r>
        <w:rPr>
          <w:rFonts w:ascii="Arial" w:cs="Arial" w:eastAsia="Arial" w:hAnsi="Arial"/>
          <w:i/>
          <w:iCs/>
          <w:color w:val="444444"/>
          <w:sz w:val="24"/>
          <w:szCs w:val="24"/>
        </w:rPr>
        <w:t xml:space="preserve">5.2 Strategic Value of In-House AI Teams</w:t>
      </w:r>
    </w:p>
    <w:p>
      <w:pPr>
        <w:spacing w:after="60" w:before="120"/>
        <w:jc w:val="both"/>
      </w:pPr>
      <w:r>
        <w:rPr>
          <w:rFonts w:ascii="Microsoft YaHei" w:cs="Microsoft YaHei" w:eastAsia="Microsoft YaHei" w:hAnsi="Microsoft YaHei"/>
          <w:b w:val="false"/>
          <w:bCs w:val="false"/>
          <w:color w:val="000000"/>
          <w:sz w:val="24"/>
          <w:szCs w:val="24"/>
        </w:rPr>
        <w:t xml:space="preserve">Deloitte 2024全球外包調查（500+高管）揭示明確趨勢：70%企業在過去5年將過去第三方業務內部化，78%利用全球內部中心（GICs）。內部化目的：加強內部能力、提高服務質量、重新獲得控制權、消除供應商加價。AI領域更甚——僅25%企業看到供應商AI帶來的成本降低或品質提升。</w:t>
      </w:r>
    </w:p>
    <w:p>
      <w:pPr>
        <w:spacing w:after="180" w:before="0"/>
        <w:jc w:val="both"/>
      </w:pPr>
      <w:r>
        <w:rPr>
          <w:rFonts w:ascii="Arial" w:cs="Arial" w:eastAsia="Arial" w:hAnsi="Arial"/>
          <w:i/>
          <w:iCs/>
          <w:color w:val="444444"/>
          <w:sz w:val="22"/>
          <w:szCs w:val="22"/>
        </w:rPr>
        <w:t xml:space="preserve">Deloitte's 2024 Global Outsourcing Survey (500+ executives) reveals: 70% of firms insourced previously outsourced functions in the past 5 years; 78% utilize Global In-house Centers. Insourcing purposes: strengthen internal capability, improve quality, regain control, eliminate vendor markups. Even more pronounced in AI — only 25% see cost reduction or quality improvement from vendor AI.</w:t>
      </w:r>
    </w:p>
    <w:p>
      <w:pPr>
        <w:spacing w:after="60" w:before="120"/>
        <w:jc w:val="both"/>
      </w:pPr>
      <w:r>
        <w:rPr>
          <w:rFonts w:ascii="Microsoft YaHei" w:cs="Microsoft YaHei" w:eastAsia="Microsoft YaHei" w:hAnsi="Microsoft YaHei"/>
          <w:b w:val="false"/>
          <w:bCs w:val="false"/>
          <w:color w:val="000000"/>
          <w:sz w:val="24"/>
          <w:szCs w:val="24"/>
        </w:rPr>
        <w:t xml:space="preserve">McKinsey 2025調研顯示，僅6%的企業成為AI高績效者（EBIT提升&gt;5%）。高績效企業共同特徵：高層主導承諾（是其他企業的3倍以上）、超過1/3將20%以上數字化預算投向AI、約3/4已或正在規模化部署。關鍵詞是「組織能力」——在模型能力日益商品化的今天，企業間的競爭已從算法轉向整合能力和治理能力。</w:t>
      </w:r>
    </w:p>
    <w:p>
      <w:pPr>
        <w:spacing w:after="180" w:before="0"/>
        <w:jc w:val="both"/>
      </w:pPr>
      <w:r>
        <w:rPr>
          <w:rFonts w:ascii="Arial" w:cs="Arial" w:eastAsia="Arial" w:hAnsi="Arial"/>
          <w:i/>
          <w:iCs/>
          <w:color w:val="444444"/>
          <w:sz w:val="22"/>
          <w:szCs w:val="22"/>
        </w:rPr>
        <w:t xml:space="preserve">McKinsey's 2025 survey: only 6% of firms are AI high-performers (EBIT improvement &gt;5%). High-performers share: senior leadership commitment (3x more likely), over 1/3 allocate 20%+ digital budget to AI, ~3/4 scaled or scaling. The keyword is 'organizational capability' — as model capabilities commoditize, competition shifts from algorithms to integration and governance capabilities.</w:t>
      </w:r>
    </w:p>
    <w:p>
      <w:pPr>
        <w:pStyle w:val="Heading2"/>
        <w:spacing w:after="60" w:before="240"/>
      </w:pPr>
      <w:r>
        <w:rPr>
          <w:rFonts w:ascii="Microsoft YaHei" w:cs="Microsoft YaHei" w:eastAsia="Microsoft YaHei" w:hAnsi="Microsoft YaHei"/>
          <w:b/>
          <w:bCs/>
          <w:color w:val="000000"/>
          <w:sz w:val="30"/>
          <w:szCs w:val="30"/>
        </w:rPr>
        <w:t xml:space="preserve">5.3 成本對比分析</w:t>
      </w:r>
    </w:p>
    <w:p>
      <w:pPr>
        <w:spacing w:after="180" w:before="0"/>
        <w:ind w:left="360"/>
      </w:pPr>
      <w:r>
        <w:rPr>
          <w:rFonts w:ascii="Arial" w:cs="Arial" w:eastAsia="Arial" w:hAnsi="Arial"/>
          <w:i/>
          <w:iCs/>
          <w:color w:val="444444"/>
          <w:sz w:val="24"/>
          <w:szCs w:val="24"/>
        </w:rPr>
        <w:t xml:space="preserve">5.3 Cost Comparison Analysis</w:t>
      </w:r>
    </w:p>
    <w:p>
      <w:pPr>
        <w:spacing w:after="60" w:before="120"/>
        <w:jc w:val="both"/>
      </w:pPr>
      <w:r>
        <w:rPr>
          <w:rFonts w:ascii="Microsoft YaHei" w:cs="Microsoft YaHei" w:eastAsia="Microsoft YaHei" w:hAnsi="Microsoft YaHei"/>
          <w:b w:val="false"/>
          <w:bCs w:val="false"/>
          <w:color w:val="000000"/>
          <w:sz w:val="24"/>
          <w:szCs w:val="24"/>
        </w:rPr>
        <w:t xml:space="preserve">McKinsey揭示了經常被忽視的成本結構：每投入1美元模型開發，需投入3美元變更管理——包括部署工程、員工培訓、績效監控等。SaaS供應商負責的是「模型開發」那1美元，而「變更管理」的3美元仍由企業自己承擔。既然遲早要投入變更管理，何不連同核心能力一起內建？</w:t>
      </w:r>
    </w:p>
    <w:p>
      <w:pPr>
        <w:spacing w:after="180" w:before="0"/>
        <w:jc w:val="both"/>
      </w:pPr>
      <w:r>
        <w:rPr>
          <w:rFonts w:ascii="Arial" w:cs="Arial" w:eastAsia="Arial" w:hAnsi="Arial"/>
          <w:i/>
          <w:iCs/>
          <w:color w:val="444444"/>
          <w:sz w:val="22"/>
          <w:szCs w:val="22"/>
        </w:rPr>
        <w:t xml:space="preserve">McKinsey reveals an often-overlooked cost structure: every USD 1 for model development requires USD 3 for change management — deployment engineering, training, performance monitoring, etc. SaaS vendors handle the 'model development' dollar, but enterprises bear the 'change management' USD 3. Since change management is inevitable, why not build core capabilities in-house simultaneously?</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500"/>
        <w:gridCol w:w="3200"/>
        <w:gridCol w:w="3300"/>
      </w:tblGrid>
      <w:tr>
        <w:trPr>
          <w:tblHeader/>
        </w:trPr>
        <w:tc>
          <w:tcPr>
            <w:tcW w:type="dxa" w:w="25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維度 / Dimension</w:t>
            </w:r>
          </w:p>
        </w:tc>
        <w:tc>
          <w:tcPr>
            <w:tcW w:type="dxa" w:w="3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依賴SaaS AI
Relying on SaaS</w:t>
            </w:r>
          </w:p>
        </w:tc>
        <w:tc>
          <w:tcPr>
            <w:tcW w:type="dxa" w:w="3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自建AI團隊
In-House AI Team</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初期投入</w:t>
            </w:r>
          </w:p>
          <w:p>
            <w:pPr>
              <w:spacing w:after="40" w:before="0"/>
              <w:jc w:val="left"/>
            </w:pPr>
            <w:r>
              <w:rPr>
                <w:rFonts w:ascii="Arial" w:cs="Arial" w:eastAsia="Arial" w:hAnsi="Arial"/>
                <w:i/>
                <w:iCs/>
                <w:color w:val="444444"/>
                <w:sz w:val="18"/>
                <w:szCs w:val="18"/>
              </w:rPr>
              <w:t xml:space="preserve">Initial Investment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低（按用量付費）</w:t>
            </w:r>
          </w:p>
          <w:p>
            <w:pPr>
              <w:spacing w:after="40" w:before="0"/>
              <w:jc w:val="left"/>
            </w:pPr>
            <w:r>
              <w:rPr>
                <w:rFonts w:ascii="Arial" w:cs="Arial" w:eastAsia="Arial" w:hAnsi="Arial"/>
                <w:i/>
                <w:iCs/>
                <w:color w:val="444444"/>
                <w:sz w:val="18"/>
                <w:szCs w:val="18"/>
              </w:rPr>
              <w:t xml:space="preserve">Low (Pay per use)</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高（團隊+基礎設施）</w:t>
            </w:r>
          </w:p>
          <w:p>
            <w:pPr>
              <w:spacing w:after="40" w:before="0"/>
              <w:jc w:val="left"/>
            </w:pPr>
            <w:r>
              <w:rPr>
                <w:rFonts w:ascii="Arial" w:cs="Arial" w:eastAsia="Arial" w:hAnsi="Arial"/>
                <w:i/>
                <w:iCs/>
                <w:color w:val="444444"/>
                <w:sz w:val="18"/>
                <w:szCs w:val="18"/>
              </w:rPr>
              <w:t xml:space="preserve">High (Team + Infra)</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邊際成本</w:t>
            </w:r>
          </w:p>
          <w:p>
            <w:pPr>
              <w:spacing w:after="40" w:before="0"/>
              <w:jc w:val="left"/>
            </w:pPr>
            <w:r>
              <w:rPr>
                <w:rFonts w:ascii="Arial" w:cs="Arial" w:eastAsia="Arial" w:hAnsi="Arial"/>
                <w:i/>
                <w:iCs/>
                <w:color w:val="444444"/>
                <w:sz w:val="18"/>
                <w:szCs w:val="18"/>
              </w:rPr>
              <w:t xml:space="preserve">Marginal Cost</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線性增長</w:t>
            </w:r>
          </w:p>
          <w:p>
            <w:pPr>
              <w:spacing w:after="40" w:before="0"/>
              <w:jc w:val="left"/>
            </w:pPr>
            <w:r>
              <w:rPr>
                <w:rFonts w:ascii="Arial" w:cs="Arial" w:eastAsia="Arial" w:hAnsi="Arial"/>
                <w:i/>
                <w:iCs/>
                <w:color w:val="444444"/>
                <w:sz w:val="18"/>
                <w:szCs w:val="18"/>
              </w:rPr>
              <w:t xml:space="preserve">Linear Growth</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遞減（知識積累）</w:t>
            </w:r>
          </w:p>
          <w:p>
            <w:pPr>
              <w:spacing w:after="40" w:before="0"/>
              <w:jc w:val="left"/>
            </w:pPr>
            <w:r>
              <w:rPr>
                <w:rFonts w:ascii="Arial" w:cs="Arial" w:eastAsia="Arial" w:hAnsi="Arial"/>
                <w:i/>
                <w:iCs/>
                <w:color w:val="444444"/>
                <w:sz w:val="18"/>
                <w:szCs w:val="18"/>
              </w:rPr>
              <w:t xml:space="preserve">Decreasing (Knowledge)</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定制化程度</w:t>
            </w:r>
          </w:p>
          <w:p>
            <w:pPr>
              <w:spacing w:after="40" w:before="0"/>
              <w:jc w:val="left"/>
            </w:pPr>
            <w:r>
              <w:rPr>
                <w:rFonts w:ascii="Arial" w:cs="Arial" w:eastAsia="Arial" w:hAnsi="Arial"/>
                <w:i/>
                <w:iCs/>
                <w:color w:val="444444"/>
                <w:sz w:val="18"/>
                <w:szCs w:val="18"/>
              </w:rPr>
              <w:t xml:space="preserve">Customization</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低（標準功能）</w:t>
            </w:r>
          </w:p>
          <w:p>
            <w:pPr>
              <w:spacing w:after="40" w:before="0"/>
              <w:jc w:val="left"/>
            </w:pPr>
            <w:r>
              <w:rPr>
                <w:rFonts w:ascii="Arial" w:cs="Arial" w:eastAsia="Arial" w:hAnsi="Arial"/>
                <w:i/>
                <w:iCs/>
                <w:color w:val="444444"/>
                <w:sz w:val="18"/>
                <w:szCs w:val="18"/>
              </w:rPr>
              <w:t xml:space="preserve">Low (Standard)</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高（深度貼合業務）</w:t>
            </w:r>
          </w:p>
          <w:p>
            <w:pPr>
              <w:spacing w:after="40" w:before="0"/>
              <w:jc w:val="left"/>
            </w:pPr>
            <w:r>
              <w:rPr>
                <w:rFonts w:ascii="Arial" w:cs="Arial" w:eastAsia="Arial" w:hAnsi="Arial"/>
                <w:i/>
                <w:iCs/>
                <w:color w:val="444444"/>
                <w:sz w:val="18"/>
                <w:szCs w:val="18"/>
              </w:rPr>
              <w:t xml:space="preserve">High (Deep Fit)</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數據控制權</w:t>
            </w:r>
          </w:p>
          <w:p>
            <w:pPr>
              <w:spacing w:after="40" w:before="0"/>
              <w:jc w:val="left"/>
            </w:pPr>
            <w:r>
              <w:rPr>
                <w:rFonts w:ascii="Arial" w:cs="Arial" w:eastAsia="Arial" w:hAnsi="Arial"/>
                <w:i/>
                <w:iCs/>
                <w:color w:val="444444"/>
                <w:sz w:val="18"/>
                <w:szCs w:val="18"/>
              </w:rPr>
              <w:t xml:space="preserve">Data Control</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弱（數據在供應商）</w:t>
            </w:r>
          </w:p>
          <w:p>
            <w:pPr>
              <w:spacing w:after="40" w:before="0"/>
              <w:jc w:val="left"/>
            </w:pPr>
            <w:r>
              <w:rPr>
                <w:rFonts w:ascii="Arial" w:cs="Arial" w:eastAsia="Arial" w:hAnsi="Arial"/>
                <w:i/>
                <w:iCs/>
                <w:color w:val="444444"/>
                <w:sz w:val="18"/>
                <w:szCs w:val="18"/>
              </w:rPr>
              <w:t xml:space="preserve">Weak (Vendor-held)</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強（數據自主）</w:t>
            </w:r>
          </w:p>
          <w:p>
            <w:pPr>
              <w:spacing w:after="40" w:before="0"/>
              <w:jc w:val="left"/>
            </w:pPr>
            <w:r>
              <w:rPr>
                <w:rFonts w:ascii="Arial" w:cs="Arial" w:eastAsia="Arial" w:hAnsi="Arial"/>
                <w:i/>
                <w:iCs/>
                <w:color w:val="444444"/>
                <w:sz w:val="18"/>
                <w:szCs w:val="18"/>
              </w:rPr>
              <w:t xml:space="preserve">Strong (Self-owned)</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創新速度</w:t>
            </w:r>
          </w:p>
          <w:p>
            <w:pPr>
              <w:spacing w:after="40" w:before="0"/>
              <w:jc w:val="left"/>
            </w:pPr>
            <w:r>
              <w:rPr>
                <w:rFonts w:ascii="Arial" w:cs="Arial" w:eastAsia="Arial" w:hAnsi="Arial"/>
                <w:i/>
                <w:iCs/>
                <w:color w:val="444444"/>
                <w:sz w:val="18"/>
                <w:szCs w:val="18"/>
              </w:rPr>
              <w:t xml:space="preserve">Innovation Speed</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取決於供應商</w:t>
            </w:r>
          </w:p>
          <w:p>
            <w:pPr>
              <w:spacing w:after="40" w:before="0"/>
              <w:jc w:val="left"/>
            </w:pPr>
            <w:r>
              <w:rPr>
                <w:rFonts w:ascii="Arial" w:cs="Arial" w:eastAsia="Arial" w:hAnsi="Arial"/>
                <w:i/>
                <w:iCs/>
                <w:color w:val="444444"/>
                <w:sz w:val="18"/>
                <w:szCs w:val="18"/>
              </w:rPr>
              <w:t xml:space="preserve">Vendor-dependent</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自主可控、快速迭代</w:t>
            </w:r>
          </w:p>
          <w:p>
            <w:pPr>
              <w:spacing w:after="40" w:before="0"/>
              <w:jc w:val="left"/>
            </w:pPr>
            <w:r>
              <w:rPr>
                <w:rFonts w:ascii="Arial" w:cs="Arial" w:eastAsia="Arial" w:hAnsi="Arial"/>
                <w:i/>
                <w:iCs/>
                <w:color w:val="444444"/>
                <w:sz w:val="18"/>
                <w:szCs w:val="18"/>
              </w:rPr>
              <w:t xml:space="preserve">Self-controlled, Fast</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競爭壁壘</w:t>
            </w:r>
          </w:p>
          <w:p>
            <w:pPr>
              <w:spacing w:after="40" w:before="0"/>
              <w:jc w:val="left"/>
            </w:pPr>
            <w:r>
              <w:rPr>
                <w:rFonts w:ascii="Arial" w:cs="Arial" w:eastAsia="Arial" w:hAnsi="Arial"/>
                <w:i/>
                <w:iCs/>
                <w:color w:val="444444"/>
                <w:sz w:val="18"/>
                <w:szCs w:val="18"/>
              </w:rPr>
              <w:t xml:space="preserve">Competitive Moat</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無（同業均可購買）</w:t>
            </w:r>
          </w:p>
          <w:p>
            <w:pPr>
              <w:spacing w:after="40" w:before="0"/>
              <w:jc w:val="left"/>
            </w:pPr>
            <w:r>
              <w:rPr>
                <w:rFonts w:ascii="Arial" w:cs="Arial" w:eastAsia="Arial" w:hAnsi="Arial"/>
                <w:i/>
                <w:iCs/>
                <w:color w:val="444444"/>
                <w:sz w:val="18"/>
                <w:szCs w:val="18"/>
              </w:rPr>
              <w:t xml:space="preserve">None (All can buy)</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高（獨特數據積累）</w:t>
            </w:r>
          </w:p>
          <w:p>
            <w:pPr>
              <w:spacing w:after="40" w:before="0"/>
              <w:jc w:val="left"/>
            </w:pPr>
            <w:r>
              <w:rPr>
                <w:rFonts w:ascii="Arial" w:cs="Arial" w:eastAsia="Arial" w:hAnsi="Arial"/>
                <w:i/>
                <w:iCs/>
                <w:color w:val="444444"/>
                <w:sz w:val="18"/>
                <w:szCs w:val="18"/>
              </w:rPr>
              <w:t xml:space="preserve">High (Unique Data)</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人才發展</w:t>
            </w:r>
          </w:p>
          <w:p>
            <w:pPr>
              <w:spacing w:after="40" w:before="0"/>
              <w:jc w:val="left"/>
            </w:pPr>
            <w:r>
              <w:rPr>
                <w:rFonts w:ascii="Arial" w:cs="Arial" w:eastAsia="Arial" w:hAnsi="Arial"/>
                <w:i/>
                <w:iCs/>
                <w:color w:val="444444"/>
                <w:sz w:val="18"/>
                <w:szCs w:val="18"/>
              </w:rPr>
              <w:t xml:space="preserve">Talent Development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無（僅學使用工具）</w:t>
            </w:r>
          </w:p>
          <w:p>
            <w:pPr>
              <w:spacing w:after="40" w:before="0"/>
              <w:jc w:val="left"/>
            </w:pPr>
            <w:r>
              <w:rPr>
                <w:rFonts w:ascii="Arial" w:cs="Arial" w:eastAsia="Arial" w:hAnsi="Arial"/>
                <w:i/>
                <w:iCs/>
                <w:color w:val="444444"/>
                <w:sz w:val="18"/>
                <w:szCs w:val="18"/>
              </w:rPr>
              <w:t xml:space="preserve">None (Tool users only)</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有（培養AI能力文化）</w:t>
            </w:r>
          </w:p>
          <w:p>
            <w:pPr>
              <w:spacing w:after="40" w:before="0"/>
              <w:jc w:val="left"/>
            </w:pPr>
            <w:r>
              <w:rPr>
                <w:rFonts w:ascii="Arial" w:cs="Arial" w:eastAsia="Arial" w:hAnsi="Arial"/>
                <w:i/>
                <w:iCs/>
                <w:color w:val="444444"/>
                <w:sz w:val="18"/>
                <w:szCs w:val="18"/>
              </w:rPr>
              <w:t xml:space="preserve">Yes (AI Capability &amp; Culture)</w:t>
            </w:r>
          </w:p>
        </w:tc>
      </w:tr>
    </w:tbl>
    <w:p>
      <w:pPr>
        <w:spacing w:after="0" w:before="100"/>
      </w:pPr>
    </w:p>
    <w:p>
      <w:pPr>
        <w:spacing w:after="60" w:before="120"/>
        <w:jc w:val="both"/>
      </w:pPr>
      <w:r>
        <w:rPr>
          <w:rFonts w:ascii="Microsoft YaHei" w:cs="Microsoft YaHei" w:eastAsia="Microsoft YaHei" w:hAnsi="Microsoft YaHei"/>
          <w:b w:val="false"/>
          <w:bCs w:val="false"/>
          <w:color w:val="000000"/>
          <w:sz w:val="24"/>
          <w:szCs w:val="24"/>
        </w:rPr>
        <w:t xml:space="preserve">核心洞見：SaaS AI是成本中心，自建AI是資產投資。SaaS每分錢換來的僅是當下使用權；自建AI團隊的投入會沉澱為數據資產、流程知識和組織能力——隨時間推移不斷增值的戰略資源。</w:t>
      </w:r>
    </w:p>
    <w:p>
      <w:pPr>
        <w:spacing w:after="180" w:before="0"/>
        <w:jc w:val="both"/>
      </w:pPr>
      <w:r>
        <w:rPr>
          <w:rFonts w:ascii="Arial" w:cs="Arial" w:eastAsia="Arial" w:hAnsi="Arial"/>
          <w:i/>
          <w:iCs/>
          <w:color w:val="444444"/>
          <w:sz w:val="22"/>
          <w:szCs w:val="22"/>
        </w:rPr>
        <w:t xml:space="preserve">Core insight: SaaS AI is a cost center; in-house AI is an asset investment. Every SaaS dollar buys only current usage rights; in-house AI investment accumulates as data assets, process knowledge, and organizational capability — strategic resources that appreciate over time.</w:t>
      </w:r>
    </w:p>
    <w:p>
      <w:pPr>
        <w:pStyle w:val="Heading2"/>
        <w:spacing w:after="60" w:before="240"/>
      </w:pPr>
      <w:r>
        <w:rPr>
          <w:rFonts w:ascii="Microsoft YaHei" w:cs="Microsoft YaHei" w:eastAsia="Microsoft YaHei" w:hAnsi="Microsoft YaHei"/>
          <w:b/>
          <w:bCs/>
          <w:color w:val="000000"/>
          <w:sz w:val="30"/>
          <w:szCs w:val="30"/>
        </w:rPr>
        <w:t xml:space="preserve">5.4 量身定制的管理系統</w:t>
      </w:r>
    </w:p>
    <w:p>
      <w:pPr>
        <w:spacing w:after="180" w:before="0"/>
        <w:ind w:left="360"/>
      </w:pPr>
      <w:r>
        <w:rPr>
          <w:rFonts w:ascii="Arial" w:cs="Arial" w:eastAsia="Arial" w:hAnsi="Arial"/>
          <w:i/>
          <w:iCs/>
          <w:color w:val="444444"/>
          <w:sz w:val="24"/>
          <w:szCs w:val="24"/>
        </w:rPr>
        <w:t xml:space="preserve">5.4 Custom-Built Management Systems</w:t>
      </w:r>
    </w:p>
    <w:p>
      <w:pPr>
        <w:spacing w:after="60" w:before="120"/>
        <w:jc w:val="both"/>
      </w:pPr>
      <w:r>
        <w:rPr>
          <w:rFonts w:ascii="Microsoft YaHei" w:cs="Microsoft YaHei" w:eastAsia="Microsoft YaHei" w:hAnsi="Microsoft YaHei"/>
          <w:b w:val="false"/>
          <w:bCs w:val="false"/>
          <w:color w:val="000000"/>
          <w:sz w:val="24"/>
          <w:szCs w:val="24"/>
        </w:rPr>
        <w:t xml:space="preserve">內部AI團隊的最大優勢是「貼地性」——深入理解業務，將AI技術與具體管理實踐有機融合。森馬集團實施「雙負責人」制，每條業務線配備「AI嵌入專員」——此人歸業務部門，懂業務痛點，能找到AI切入場景，持續迭代。這種「業務驅動、技術支撐」模式確保AI真正解決業務問題。</w:t>
      </w:r>
    </w:p>
    <w:p>
      <w:pPr>
        <w:spacing w:after="180" w:before="0"/>
        <w:jc w:val="both"/>
      </w:pPr>
      <w:r>
        <w:rPr>
          <w:rFonts w:ascii="Arial" w:cs="Arial" w:eastAsia="Arial" w:hAnsi="Arial"/>
          <w:i/>
          <w:iCs/>
          <w:color w:val="444444"/>
          <w:sz w:val="22"/>
          <w:szCs w:val="22"/>
        </w:rPr>
        <w:t xml:space="preserve">In-house AI teams' greatest advantage is 'grounding' — deeply understanding business and organically integrating AI with management practices. Semir Group implements a 'dual lead' system, assigning an 'AI embedded specialist' per business line — reporting to business, understanding pain points, finding AI entry scenarios, iterating continuously. This 'business-driven, technology-supported' model ensures AI genuinely solves business problems.</w:t>
      </w:r>
    </w:p>
    <w:p>
      <w:pPr>
        <w:spacing w:after="60" w:before="120"/>
        <w:jc w:val="both"/>
      </w:pPr>
      <w:r>
        <w:rPr>
          <w:rFonts w:ascii="Microsoft YaHei" w:cs="Microsoft YaHei" w:eastAsia="Microsoft YaHei" w:hAnsi="Microsoft YaHei"/>
          <w:b w:val="false"/>
          <w:bCs w:val="false"/>
          <w:color w:val="000000"/>
          <w:sz w:val="24"/>
          <w:szCs w:val="24"/>
        </w:rPr>
        <w:t xml:space="preserve">CB Insights指出，專業服務公司的戰略優先事項之一是激活專有數據構建更智能的Agent。自建AI團隊的終極目標不是做一個個AI項目，而是建構平台化的智能能力——讓AI基礎設施、數據資產和領域知識在不同業務單元間複用，實現邊際成本遞減、效益遞增的規模效應。</w:t>
      </w:r>
    </w:p>
    <w:p>
      <w:pPr>
        <w:spacing w:after="180" w:before="0"/>
        <w:jc w:val="both"/>
      </w:pPr>
      <w:r>
        <w:rPr>
          <w:rFonts w:ascii="Arial" w:cs="Arial" w:eastAsia="Arial" w:hAnsi="Arial"/>
          <w:i/>
          <w:iCs/>
          <w:color w:val="444444"/>
          <w:sz w:val="22"/>
          <w:szCs w:val="22"/>
        </w:rPr>
        <w:t xml:space="preserve">CB Insights identifies activating proprietary data for smarter agents as a strategic priority. The ultimate goal of in-house AI teams is not individual AI projects but platform-level intelligent capabilities — enabling AI infrastructure, data assets, and domain knowledge to be reused across business units, achieving decreasing marginal costs and increasing returns to scale.</w:t>
      </w:r>
    </w:p>
    <w:p>
      <w:r>
        <w:br w:type="page"/>
      </w:r>
    </w:p>
    <w:p>
      <w:pPr>
        <w:pStyle w:val="Heading1"/>
        <w:spacing w:after="60" w:before="360"/>
      </w:pPr>
      <w:r>
        <w:rPr>
          <w:rFonts w:ascii="Microsoft YaHei" w:cs="Microsoft YaHei" w:eastAsia="Microsoft YaHei" w:hAnsi="Microsoft YaHei"/>
          <w:b/>
          <w:bCs/>
          <w:color w:val="000000"/>
          <w:sz w:val="36"/>
          <w:szCs w:val="36"/>
        </w:rPr>
        <w:t xml:space="preserve">第六章：HHAI在專業服務中的管理實踐</w:t>
      </w:r>
    </w:p>
    <w:p>
      <w:pPr>
        <w:spacing w:after="240" w:before="0"/>
        <w:ind w:left="0"/>
      </w:pPr>
      <w:r>
        <w:rPr>
          <w:rFonts w:ascii="Arial" w:cs="Arial" w:eastAsia="Arial" w:hAnsi="Arial"/>
          <w:i/>
          <w:iCs/>
          <w:color w:val="444444"/>
          <w:sz w:val="28"/>
          <w:szCs w:val="28"/>
        </w:rPr>
        <w:t xml:space="preserve">Chapter 6: HHAI in Professional Services Management Practice</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核心觀點：HHAI不是工具而是管理方法論——產能可從50-60人提升至200-250人等效產出，實現4倍倍增。</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HHAI is not a tool but a management methodology — productivity can scale from 50-60 to 200-250 person-equivalent output, achieving 4x multiplication.</w:t>
      </w:r>
    </w:p>
    <w:p>
      <w:pPr>
        <w:pStyle w:val="Heading2"/>
        <w:spacing w:after="60" w:before="240"/>
      </w:pPr>
      <w:r>
        <w:rPr>
          <w:rFonts w:ascii="Microsoft YaHei" w:cs="Microsoft YaHei" w:eastAsia="Microsoft YaHei" w:hAnsi="Microsoft YaHei"/>
          <w:b/>
          <w:bCs/>
          <w:color w:val="000000"/>
          <w:sz w:val="30"/>
          <w:szCs w:val="30"/>
        </w:rPr>
        <w:t xml:space="preserve">6.1 重新定義管理方法</w:t>
      </w:r>
    </w:p>
    <w:p>
      <w:pPr>
        <w:spacing w:after="180" w:before="0"/>
        <w:ind w:left="360"/>
      </w:pPr>
      <w:r>
        <w:rPr>
          <w:rFonts w:ascii="Arial" w:cs="Arial" w:eastAsia="Arial" w:hAnsi="Arial"/>
          <w:i/>
          <w:iCs/>
          <w:color w:val="444444"/>
          <w:sz w:val="24"/>
          <w:szCs w:val="24"/>
        </w:rPr>
        <w:t xml:space="preserve">6.1 Redefining Management Methodology</w:t>
      </w:r>
    </w:p>
    <w:p>
      <w:pPr>
        <w:spacing w:after="60" w:before="120"/>
        <w:jc w:val="both"/>
      </w:pPr>
      <w:r>
        <w:rPr>
          <w:rFonts w:ascii="Microsoft YaHei" w:cs="Microsoft YaHei" w:eastAsia="Microsoft YaHei" w:hAnsi="Microsoft YaHei"/>
          <w:b w:val="false"/>
          <w:bCs w:val="false"/>
          <w:color w:val="000000"/>
          <w:sz w:val="24"/>
          <w:szCs w:val="24"/>
        </w:rPr>
        <w:t xml:space="preserve">當前AI在建築工程（AEC）的應用大部分停留在效率工具層面。Bluebeam 2026調查顯示僅27%的AEC企業實際使用AI。然而，AI的真正潛力遠不止效率工具——McKinsey估計AI可將建築成本降低20%、工期縮短30%——這些數字不僅來自「更快做同樣的事」，更來自「用完全不同的方式做事」。</w:t>
      </w:r>
    </w:p>
    <w:p>
      <w:pPr>
        <w:spacing w:after="180" w:before="0"/>
        <w:jc w:val="both"/>
      </w:pPr>
      <w:r>
        <w:rPr>
          <w:rFonts w:ascii="Arial" w:cs="Arial" w:eastAsia="Arial" w:hAnsi="Arial"/>
          <w:i/>
          <w:iCs/>
          <w:color w:val="444444"/>
          <w:sz w:val="22"/>
          <w:szCs w:val="22"/>
        </w:rPr>
        <w:t xml:space="preserve">Current AI in AEC largely remains at the efficiency tool level. Bluebeam 2026 shows only 27% of AEC firms use AI. Yet AI's true potential goes beyond tools — McKinsey estimates AI can reduce costs 20%, schedules 30% — these come not just from 'doing same things faster' but from 'doing things completely differently.'</w:t>
      </w:r>
    </w:p>
    <w:p>
      <w:pPr>
        <w:spacing w:after="60" w:before="120"/>
        <w:jc w:val="both"/>
      </w:pPr>
      <w:r>
        <w:rPr>
          <w:rFonts w:ascii="Microsoft YaHei" w:cs="Microsoft YaHei" w:eastAsia="Microsoft YaHei" w:hAnsi="Microsoft YaHei"/>
          <w:b w:val="false"/>
          <w:bCs w:val="false"/>
          <w:color w:val="000000"/>
          <w:sz w:val="24"/>
          <w:szCs w:val="24"/>
        </w:rPr>
        <w:t xml:space="preserve">建築產業長期面臨深層問題：大型項目平均超預算20%、超工期80%（McKinsey）。問題根源在於管理方法本身的極限——傳統項目管理依賴人的經驗判斷，而人類認知的有限性決定了方法論的天花板。HHAI將項目管理從「藝術」推向「科學」：從點估計到概率分佈、從事後響應到事前預測、從靜態計劃到動態優化、從經驗驅動到數據驅動。</w:t>
      </w:r>
    </w:p>
    <w:p>
      <w:pPr>
        <w:spacing w:after="180" w:before="0"/>
        <w:jc w:val="both"/>
      </w:pPr>
      <w:r>
        <w:rPr>
          <w:rFonts w:ascii="Arial" w:cs="Arial" w:eastAsia="Arial" w:hAnsi="Arial"/>
          <w:i/>
          <w:iCs/>
          <w:color w:val="444444"/>
          <w:sz w:val="22"/>
          <w:szCs w:val="22"/>
        </w:rPr>
        <w:t xml:space="preserve">Construction faces deep-rooted issues: large projects average 20% over budget, 80% over schedule (McKinsey). The root cause is management methodology's inherent limits — traditional PM relies on human experience, and cognitive limits create a ceiling. HHAI pushes PM from 'art' to 'science': point estimates to probability distributions, reactive to predictive, static plans to dynamic optimization, experience to data-driven.</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500"/>
        <w:gridCol w:w="3200"/>
        <w:gridCol w:w="3300"/>
      </w:tblGrid>
      <w:tr>
        <w:trPr>
          <w:tblHeader/>
        </w:trPr>
        <w:tc>
          <w:tcPr>
            <w:tcW w:type="dxa" w:w="25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管理維度 / Mgmt Dimension</w:t>
            </w:r>
          </w:p>
        </w:tc>
        <w:tc>
          <w:tcPr>
            <w:tcW w:type="dxa" w:w="32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傳統模式 / Traditional</w:t>
            </w:r>
          </w:p>
        </w:tc>
        <w:tc>
          <w:tcPr>
            <w:tcW w:type="dxa" w:w="33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HHAI模式 / HHAI Mode</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進度估算</w:t>
            </w:r>
          </w:p>
          <w:p>
            <w:pPr>
              <w:spacing w:after="40" w:before="0"/>
              <w:jc w:val="left"/>
            </w:pPr>
            <w:r>
              <w:rPr>
                <w:rFonts w:ascii="Arial" w:cs="Arial" w:eastAsia="Arial" w:hAnsi="Arial"/>
                <w:i/>
                <w:iCs/>
                <w:color w:val="444444"/>
                <w:sz w:val="18"/>
                <w:szCs w:val="18"/>
              </w:rPr>
              <w:t xml:space="preserve">Schedule Estimation</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確定性點估計</w:t>
            </w:r>
          </w:p>
          <w:p>
            <w:pPr>
              <w:spacing w:after="40" w:before="0"/>
              <w:jc w:val="left"/>
            </w:pPr>
            <w:r>
              <w:rPr>
                <w:rFonts w:ascii="Arial" w:cs="Arial" w:eastAsia="Arial" w:hAnsi="Arial"/>
                <w:i/>
                <w:iCs/>
                <w:color w:val="444444"/>
                <w:sz w:val="18"/>
                <w:szCs w:val="18"/>
              </w:rPr>
              <w:t xml:space="preserve">Deterministic Point Estimate</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概率分佈（P50/P80）</w:t>
            </w:r>
          </w:p>
          <w:p>
            <w:pPr>
              <w:spacing w:after="40" w:before="0"/>
              <w:jc w:val="left"/>
            </w:pPr>
            <w:r>
              <w:rPr>
                <w:rFonts w:ascii="Arial" w:cs="Arial" w:eastAsia="Arial" w:hAnsi="Arial"/>
                <w:i/>
                <w:iCs/>
                <w:color w:val="444444"/>
                <w:sz w:val="18"/>
                <w:szCs w:val="18"/>
              </w:rPr>
              <w:t xml:space="preserve">Probability Distribution</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風險管理</w:t>
            </w:r>
          </w:p>
          <w:p>
            <w:pPr>
              <w:spacing w:after="40" w:before="0"/>
              <w:jc w:val="left"/>
            </w:pPr>
            <w:r>
              <w:rPr>
                <w:rFonts w:ascii="Arial" w:cs="Arial" w:eastAsia="Arial" w:hAnsi="Arial"/>
                <w:i/>
                <w:iCs/>
                <w:color w:val="444444"/>
                <w:sz w:val="18"/>
                <w:szCs w:val="18"/>
              </w:rPr>
              <w:t xml:space="preserve">Risk Management</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事後響應</w:t>
            </w:r>
          </w:p>
          <w:p>
            <w:pPr>
              <w:spacing w:after="40" w:before="0"/>
              <w:jc w:val="left"/>
            </w:pPr>
            <w:r>
              <w:rPr>
                <w:rFonts w:ascii="Arial" w:cs="Arial" w:eastAsia="Arial" w:hAnsi="Arial"/>
                <w:i/>
                <w:iCs/>
                <w:color w:val="444444"/>
                <w:sz w:val="18"/>
                <w:szCs w:val="18"/>
              </w:rPr>
              <w:t xml:space="preserve">Reactive</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事前預測、主動干預</w:t>
            </w:r>
          </w:p>
          <w:p>
            <w:pPr>
              <w:spacing w:after="40" w:before="0"/>
              <w:jc w:val="left"/>
            </w:pPr>
            <w:r>
              <w:rPr>
                <w:rFonts w:ascii="Arial" w:cs="Arial" w:eastAsia="Arial" w:hAnsi="Arial"/>
                <w:i/>
                <w:iCs/>
                <w:color w:val="444444"/>
                <w:sz w:val="18"/>
                <w:szCs w:val="18"/>
              </w:rPr>
              <w:t xml:space="preserve">Predictive, Proactive</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計劃調整</w:t>
            </w:r>
          </w:p>
          <w:p>
            <w:pPr>
              <w:spacing w:after="40" w:before="0"/>
              <w:jc w:val="left"/>
            </w:pPr>
            <w:r>
              <w:rPr>
                <w:rFonts w:ascii="Arial" w:cs="Arial" w:eastAsia="Arial" w:hAnsi="Arial"/>
                <w:i/>
                <w:iCs/>
                <w:color w:val="444444"/>
                <w:sz w:val="18"/>
                <w:szCs w:val="18"/>
              </w:rPr>
              <w:t xml:space="preserve">Plan Adjustment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靜態甘特圖</w:t>
            </w:r>
          </w:p>
          <w:p>
            <w:pPr>
              <w:spacing w:after="40" w:before="0"/>
              <w:jc w:val="left"/>
            </w:pPr>
            <w:r>
              <w:rPr>
                <w:rFonts w:ascii="Arial" w:cs="Arial" w:eastAsia="Arial" w:hAnsi="Arial"/>
                <w:i/>
                <w:iCs/>
                <w:color w:val="444444"/>
                <w:sz w:val="18"/>
                <w:szCs w:val="18"/>
              </w:rPr>
              <w:t xml:space="preserve">Static Gantt Chart</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動態即時優化</w:t>
            </w:r>
          </w:p>
          <w:p>
            <w:pPr>
              <w:spacing w:after="40" w:before="0"/>
              <w:jc w:val="left"/>
            </w:pPr>
            <w:r>
              <w:rPr>
                <w:rFonts w:ascii="Arial" w:cs="Arial" w:eastAsia="Arial" w:hAnsi="Arial"/>
                <w:i/>
                <w:iCs/>
                <w:color w:val="444444"/>
                <w:sz w:val="18"/>
                <w:szCs w:val="18"/>
              </w:rPr>
              <w:t xml:space="preserve">Dynamic Real-time Optimization</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成本估算</w:t>
            </w:r>
          </w:p>
          <w:p>
            <w:pPr>
              <w:spacing w:after="40" w:before="0"/>
              <w:jc w:val="left"/>
            </w:pPr>
            <w:r>
              <w:rPr>
                <w:rFonts w:ascii="Arial" w:cs="Arial" w:eastAsia="Arial" w:hAnsi="Arial"/>
                <w:i/>
                <w:iCs/>
                <w:color w:val="444444"/>
                <w:sz w:val="18"/>
                <w:szCs w:val="18"/>
              </w:rPr>
              <w:t xml:space="preserve">Cost Estimation</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估價師個人經驗</w:t>
            </w:r>
          </w:p>
          <w:p>
            <w:pPr>
              <w:spacing w:after="40" w:before="0"/>
              <w:jc w:val="left"/>
            </w:pPr>
            <w:r>
              <w:rPr>
                <w:rFonts w:ascii="Arial" w:cs="Arial" w:eastAsia="Arial" w:hAnsi="Arial"/>
                <w:i/>
                <w:iCs/>
                <w:color w:val="444444"/>
                <w:sz w:val="18"/>
                <w:szCs w:val="18"/>
              </w:rPr>
              <w:t xml:space="preserve">Estimator's Experience</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千個歷史項目分析</w:t>
            </w:r>
          </w:p>
          <w:p>
            <w:pPr>
              <w:spacing w:after="40" w:before="0"/>
              <w:jc w:val="left"/>
            </w:pPr>
            <w:r>
              <w:rPr>
                <w:rFonts w:ascii="Arial" w:cs="Arial" w:eastAsia="Arial" w:hAnsi="Arial"/>
                <w:i/>
                <w:iCs/>
                <w:color w:val="444444"/>
                <w:sz w:val="18"/>
                <w:szCs w:val="18"/>
              </w:rPr>
              <w:t xml:space="preserve">1000s Historical Projects</w:t>
            </w:r>
          </w:p>
        </w:tc>
      </w:tr>
      <w:tr>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知識管理</w:t>
            </w:r>
          </w:p>
          <w:p>
            <w:pPr>
              <w:spacing w:after="40" w:before="0"/>
              <w:jc w:val="left"/>
            </w:pPr>
            <w:r>
              <w:rPr>
                <w:rFonts w:ascii="Arial" w:cs="Arial" w:eastAsia="Arial" w:hAnsi="Arial"/>
                <w:i/>
                <w:iCs/>
                <w:color w:val="444444"/>
                <w:sz w:val="18"/>
                <w:szCs w:val="18"/>
              </w:rPr>
              <w:t xml:space="preserve">Knowledge Mgmt</w:t>
            </w:r>
          </w:p>
        </w:tc>
        <w:tc>
          <w:tcPr>
            <w:tcW w:type="dxa" w:w="32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個人經驗、離職流失</w:t>
            </w:r>
          </w:p>
          <w:p>
            <w:pPr>
              <w:spacing w:after="40" w:before="0"/>
              <w:jc w:val="left"/>
            </w:pPr>
            <w:r>
              <w:rPr>
                <w:rFonts w:ascii="Arial" w:cs="Arial" w:eastAsia="Arial" w:hAnsi="Arial"/>
                <w:i/>
                <w:iCs/>
                <w:color w:val="444444"/>
                <w:sz w:val="18"/>
                <w:szCs w:val="18"/>
              </w:rPr>
              <w:t xml:space="preserve">Personal, Lost</w:t>
            </w:r>
          </w:p>
        </w:tc>
        <w:tc>
          <w:tcPr>
            <w:tcW w:type="dxa" w:w="33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組織記憶、持續積累</w:t>
            </w:r>
          </w:p>
          <w:p>
            <w:pPr>
              <w:spacing w:after="40" w:before="0"/>
              <w:jc w:val="left"/>
            </w:pPr>
            <w:r>
              <w:rPr>
                <w:rFonts w:ascii="Arial" w:cs="Arial" w:eastAsia="Arial" w:hAnsi="Arial"/>
                <w:i/>
                <w:iCs/>
                <w:color w:val="444444"/>
                <w:sz w:val="18"/>
                <w:szCs w:val="18"/>
              </w:rPr>
              <w:t xml:space="preserve">Organizational Memory</w:t>
            </w:r>
          </w:p>
        </w:tc>
      </w:tr>
      <w:tr>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決策模式</w:t>
            </w:r>
          </w:p>
          <w:p>
            <w:pPr>
              <w:spacing w:after="40" w:before="0"/>
              <w:jc w:val="left"/>
            </w:pPr>
            <w:r>
              <w:rPr>
                <w:rFonts w:ascii="Arial" w:cs="Arial" w:eastAsia="Arial" w:hAnsi="Arial"/>
                <w:i/>
                <w:iCs/>
                <w:color w:val="444444"/>
                <w:sz w:val="18"/>
                <w:szCs w:val="18"/>
              </w:rPr>
              <w:t xml:space="preserve">Decision Mode</w:t>
            </w:r>
          </w:p>
        </w:tc>
        <w:tc>
          <w:tcPr>
            <w:tcW w:type="dxa" w:w="32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高管直覺</w:t>
            </w:r>
          </w:p>
          <w:p>
            <w:pPr>
              <w:spacing w:after="40" w:before="0"/>
              <w:jc w:val="left"/>
            </w:pPr>
            <w:r>
              <w:rPr>
                <w:rFonts w:ascii="Arial" w:cs="Arial" w:eastAsia="Arial" w:hAnsi="Arial"/>
                <w:i/>
                <w:iCs/>
                <w:color w:val="444444"/>
                <w:sz w:val="18"/>
                <w:szCs w:val="18"/>
              </w:rPr>
              <w:t xml:space="preserve">Executive Intuition</w:t>
            </w:r>
          </w:p>
        </w:tc>
        <w:tc>
          <w:tcPr>
            <w:tcW w:type="dxa" w:w="33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人機協同數據驅動</w:t>
            </w:r>
          </w:p>
          <w:p>
            <w:pPr>
              <w:spacing w:after="40" w:before="0"/>
              <w:jc w:val="left"/>
            </w:pPr>
            <w:r>
              <w:rPr>
                <w:rFonts w:ascii="Arial" w:cs="Arial" w:eastAsia="Arial" w:hAnsi="Arial"/>
                <w:i/>
                <w:iCs/>
                <w:color w:val="444444"/>
                <w:sz w:val="18"/>
                <w:szCs w:val="18"/>
              </w:rPr>
              <w:t xml:space="preserve">Human-AI Data-Driven</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6.2 大型項目管理的HHAI重構</w:t>
      </w:r>
    </w:p>
    <w:p>
      <w:pPr>
        <w:spacing w:after="180" w:before="0"/>
        <w:ind w:left="360"/>
      </w:pPr>
      <w:r>
        <w:rPr>
          <w:rFonts w:ascii="Arial" w:cs="Arial" w:eastAsia="Arial" w:hAnsi="Arial"/>
          <w:i/>
          <w:iCs/>
          <w:color w:val="444444"/>
          <w:sz w:val="24"/>
          <w:szCs w:val="24"/>
        </w:rPr>
        <w:t xml:space="preserve">6.2 Reconstructing Large-Scale Project Management with HHAI</w:t>
      </w:r>
    </w:p>
    <w:p>
      <w:pPr>
        <w:spacing w:after="60" w:before="120"/>
        <w:jc w:val="both"/>
      </w:pPr>
      <w:r>
        <w:rPr>
          <w:rFonts w:ascii="Microsoft YaHei" w:cs="Microsoft YaHei" w:eastAsia="Microsoft YaHei" w:hAnsi="Microsoft YaHei"/>
          <w:b w:val="false"/>
          <w:bCs w:val="false"/>
          <w:color w:val="000000"/>
          <w:sz w:val="24"/>
          <w:szCs w:val="24"/>
        </w:rPr>
        <w:t xml:space="preserve">傳統項目管理流程——啟動、規劃、執行、監控、收尾——是為「人類管理者」設計的。在HHAI模式下，五個階段的內涵都將深刻變化。啟動：AI可在數小時內生成數百個設計選項並模擬不同條件下的表現。規劃：生成式排程可分析無數變量——ALICE與McKinsey在35+項目中實現高達20%工期壓縮，其中一個數據中心項目基礎建設工期縮短約40%。</w:t>
      </w:r>
    </w:p>
    <w:p>
      <w:pPr>
        <w:spacing w:after="180" w:before="0"/>
        <w:jc w:val="both"/>
      </w:pPr>
      <w:r>
        <w:rPr>
          <w:rFonts w:ascii="Arial" w:cs="Arial" w:eastAsia="Arial" w:hAnsi="Arial"/>
          <w:i/>
          <w:iCs/>
          <w:color w:val="444444"/>
          <w:sz w:val="22"/>
          <w:szCs w:val="22"/>
        </w:rPr>
        <w:t xml:space="preserve">Traditional PM processes — initiation, planning, execution, monitoring, closing — were designed for 'human managers.' Under HHAI, all five phases transform. Initiation: AI generates hundreds of design options in hours with simulations. Planning: generative scheduling analyzes countless variables — ALICE and McKinsey achieved up to 20% compression across 35+ projects, including ~40% on a data center foundation project.</w:t>
      </w:r>
    </w:p>
    <w:p>
      <w:pPr>
        <w:spacing w:after="60" w:before="120"/>
        <w:jc w:val="both"/>
      </w:pPr>
      <w:r>
        <w:rPr>
          <w:rFonts w:ascii="Microsoft YaHei" w:cs="Microsoft YaHei" w:eastAsia="Microsoft YaHei" w:hAnsi="Microsoft YaHei"/>
          <w:b w:val="false"/>
          <w:bCs w:val="false"/>
          <w:color w:val="000000"/>
          <w:sz w:val="24"/>
          <w:szCs w:val="24"/>
        </w:rPr>
        <w:t xml:space="preserve">執行與監控：OpenSpace的視覺情報平台已部署在95,000+項目中，比較700+組件的計劃與實際進度。收尾：AI使項目數位資產成為生命週期管理的起點。關鍵不是AI做了什麼，而是人機如何協同——AI負責探索方案空間、量化權衡、識別風險；人類負責設定約束、判斷不可量化因素、做出最終取捨。這是「AI擴張選項、人類做出選擇」的協作模式。</w:t>
      </w:r>
    </w:p>
    <w:p>
      <w:pPr>
        <w:spacing w:after="180" w:before="0"/>
        <w:jc w:val="both"/>
      </w:pPr>
      <w:r>
        <w:rPr>
          <w:rFonts w:ascii="Arial" w:cs="Arial" w:eastAsia="Arial" w:hAnsi="Arial"/>
          <w:i/>
          <w:iCs/>
          <w:color w:val="444444"/>
          <w:sz w:val="22"/>
          <w:szCs w:val="22"/>
        </w:rPr>
        <w:t xml:space="preserve">Execution &amp; monitoring: OpenSpace's visual intelligence platform deployed in 95,000+ projects, comparing planned vs. actual progress for 700+ components. Closing: AI turns digital assets into lifecycle management starting points. The key isn't what AI does but how humans and AI collaborate — AI explores solution spaces, quantifies tradeoffs, identifies risks; humans set constraints, judge unquantifiable factors, make final tradeoffs. This is the 'AI expands options, humans choose' collaborative model.</w:t>
      </w:r>
    </w:p>
    <w:p>
      <w:pPr>
        <w:pStyle w:val="Heading2"/>
        <w:spacing w:after="60" w:before="240"/>
      </w:pPr>
      <w:r>
        <w:rPr>
          <w:rFonts w:ascii="Microsoft YaHei" w:cs="Microsoft YaHei" w:eastAsia="Microsoft YaHei" w:hAnsi="Microsoft YaHei"/>
          <w:b/>
          <w:bCs/>
          <w:color w:val="000000"/>
          <w:sz w:val="30"/>
          <w:szCs w:val="30"/>
        </w:rPr>
        <w:t xml:space="preserve">6.3 產能倍增的實證邏輯</w:t>
      </w:r>
    </w:p>
    <w:p>
      <w:pPr>
        <w:spacing w:after="180" w:before="0"/>
        <w:ind w:left="360"/>
      </w:pPr>
      <w:r>
        <w:rPr>
          <w:rFonts w:ascii="Arial" w:cs="Arial" w:eastAsia="Arial" w:hAnsi="Arial"/>
          <w:i/>
          <w:iCs/>
          <w:color w:val="444444"/>
          <w:sz w:val="24"/>
          <w:szCs w:val="24"/>
        </w:rPr>
        <w:t xml:space="preserve">6.3 Empirical Logic of Productivity Multiplication</w:t>
      </w:r>
    </w:p>
    <w:p>
      <w:pPr>
        <w:spacing w:after="60" w:before="120"/>
        <w:jc w:val="both"/>
      </w:pPr>
      <w:r>
        <w:rPr>
          <w:rFonts w:ascii="Microsoft YaHei" w:cs="Microsoft YaHei" w:eastAsia="Microsoft YaHei" w:hAnsi="Microsoft YaHei"/>
          <w:b w:val="false"/>
          <w:bCs w:val="false"/>
          <w:color w:val="000000"/>
          <w:sz w:val="24"/>
          <w:szCs w:val="24"/>
        </w:rPr>
        <w:t xml:space="preserve">HHAI的核心價值主張之一是產能倍增——不是讓每個人做更多的事（那是效率提升），而是用更少的人創造更多產出（這是範式轉換）。大熊貓集團的實踐路徑是：50-60人傳統模式 → 80-100人（AI輔助）→ 200-250人等效產出（混合決策），實現約4倍產能倍增。</w:t>
      </w:r>
    </w:p>
    <w:p>
      <w:pPr>
        <w:spacing w:after="180" w:before="0"/>
        <w:jc w:val="both"/>
      </w:pPr>
      <w:r>
        <w:rPr>
          <w:rFonts w:ascii="Arial" w:cs="Arial" w:eastAsia="Arial" w:hAnsi="Arial"/>
          <w:i/>
          <w:iCs/>
          <w:color w:val="444444"/>
          <w:sz w:val="22"/>
          <w:szCs w:val="22"/>
        </w:rPr>
        <w:t xml:space="preserve">A core HHAI value proposition is productivity multiplication — not making each person do more (that's efficiency), but creating more output with fewer people (that's paradigm shift). Panda Group's pathway: 50-60 traditional → 80-100 (AI-assisted) → 200-250 equivalent output (hybrid decisions), achieving ~4x multiplication.</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1800"/>
        <w:gridCol w:w="1400"/>
        <w:gridCol w:w="2600"/>
      </w:tblGrid>
      <w:tr>
        <w:trPr>
          <w:tblHeader/>
        </w:trPr>
        <w:tc>
          <w:tcPr>
            <w:tcW w:type="dxa" w:w="1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階段 / Stage</w:t>
            </w:r>
          </w:p>
        </w:tc>
        <w:tc>
          <w:tcPr>
            <w:tcW w:type="dxa" w:w="1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人員規模
Headcount</w:t>
            </w:r>
          </w:p>
        </w:tc>
        <w:tc>
          <w:tcPr>
            <w:tcW w:type="dxa" w:w="18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等效產出
Equiv. Output</w:t>
            </w:r>
          </w:p>
        </w:tc>
        <w:tc>
          <w:tcPr>
            <w:tcW w:type="dxa" w:w="14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倍增係數
Multiplier</w:t>
            </w:r>
          </w:p>
        </w:tc>
        <w:tc>
          <w:tcPr>
            <w:tcW w:type="dxa" w:w="26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關鍵驅動力
Key Driver</w:t>
            </w:r>
          </w:p>
        </w:tc>
      </w:tr>
      <w:tr>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傳統模式</w:t>
            </w:r>
          </w:p>
          <w:p>
            <w:pPr>
              <w:spacing w:after="40" w:before="0"/>
              <w:jc w:val="left"/>
            </w:pPr>
            <w:r>
              <w:rPr>
                <w:rFonts w:ascii="Arial" w:cs="Arial" w:eastAsia="Arial" w:hAnsi="Arial"/>
                <w:i/>
                <w:iCs/>
                <w:color w:val="444444"/>
                <w:sz w:val="18"/>
                <w:szCs w:val="18"/>
              </w:rPr>
              <w:t xml:space="preserve">Traditional</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50-60人</w:t>
            </w:r>
          </w:p>
          <w:p>
            <w:pPr>
              <w:spacing w:after="40" w:before="0"/>
              <w:jc w:val="left"/>
            </w:pPr>
            <w:r>
              <w:rPr>
                <w:rFonts w:ascii="Arial" w:cs="Arial" w:eastAsia="Arial" w:hAnsi="Arial"/>
                <w:i/>
                <w:iCs/>
                <w:color w:val="444444"/>
                <w:sz w:val="18"/>
                <w:szCs w:val="18"/>
              </w:rPr>
              <w:t xml:space="preserve">50-60 FTE</w:t>
            </w:r>
          </w:p>
        </w:tc>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50-60人產出</w:t>
            </w:r>
          </w:p>
          <w:p>
            <w:pPr>
              <w:spacing w:after="40" w:before="0"/>
              <w:jc w:val="left"/>
            </w:pPr>
            <w:r>
              <w:rPr>
                <w:rFonts w:ascii="Arial" w:cs="Arial" w:eastAsia="Arial" w:hAnsi="Arial"/>
                <w:i/>
                <w:iCs/>
                <w:color w:val="444444"/>
                <w:sz w:val="18"/>
                <w:szCs w:val="18"/>
              </w:rPr>
              <w:t xml:space="preserve">50-60 Output</w:t>
            </w:r>
          </w:p>
        </w:tc>
        <w:tc>
          <w:tcPr>
            <w:tcW w:type="dxa" w:w="1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1.0x</w:t>
            </w:r>
          </w:p>
          <w:p>
            <w:pPr>
              <w:spacing w:after="40" w:before="0"/>
              <w:jc w:val="left"/>
            </w:pPr>
            <w:r>
              <w:rPr>
                <w:rFonts w:ascii="Arial" w:cs="Arial" w:eastAsia="Arial" w:hAnsi="Arial"/>
                <w:i/>
                <w:iCs/>
                <w:color w:val="444444"/>
                <w:sz w:val="18"/>
                <w:szCs w:val="18"/>
              </w:rPr>
              <w:t xml:space="preserve">基准/Baseline</w:t>
            </w:r>
          </w:p>
        </w:tc>
        <w:tc>
          <w:tcPr>
            <w:tcW w:type="dxa" w:w="2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人力密集</w:t>
            </w:r>
          </w:p>
          <w:p>
            <w:pPr>
              <w:spacing w:after="40" w:before="0"/>
              <w:jc w:val="left"/>
            </w:pPr>
            <w:r>
              <w:rPr>
                <w:rFonts w:ascii="Arial" w:cs="Arial" w:eastAsia="Arial" w:hAnsi="Arial"/>
                <w:i/>
                <w:iCs/>
                <w:color w:val="444444"/>
                <w:sz w:val="18"/>
                <w:szCs w:val="18"/>
              </w:rPr>
              <w:t xml:space="preserve">Labor Intensive</w:t>
            </w:r>
          </w:p>
        </w:tc>
      </w:tr>
      <w:tr>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AI輔助</w:t>
            </w:r>
          </w:p>
          <w:p>
            <w:pPr>
              <w:spacing w:after="40" w:before="0"/>
              <w:jc w:val="left"/>
            </w:pPr>
            <w:r>
              <w:rPr>
                <w:rFonts w:ascii="Arial" w:cs="Arial" w:eastAsia="Arial" w:hAnsi="Arial"/>
                <w:i/>
                <w:iCs/>
                <w:color w:val="444444"/>
                <w:sz w:val="18"/>
                <w:szCs w:val="18"/>
              </w:rPr>
              <w:t xml:space="preserve">AI-Assisted</w:t>
            </w:r>
          </w:p>
        </w:tc>
        <w:tc>
          <w:tcPr>
            <w:tcW w:type="dxa" w:w="1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80-100人</w:t>
            </w:r>
          </w:p>
          <w:p>
            <w:pPr>
              <w:spacing w:after="40" w:before="0"/>
              <w:jc w:val="left"/>
            </w:pPr>
            <w:r>
              <w:rPr>
                <w:rFonts w:ascii="Arial" w:cs="Arial" w:eastAsia="Arial" w:hAnsi="Arial"/>
                <w:i/>
                <w:iCs/>
                <w:color w:val="444444"/>
                <w:sz w:val="18"/>
                <w:szCs w:val="18"/>
              </w:rPr>
              <w:t xml:space="preserve">80-100 FTE</w:t>
            </w:r>
          </w:p>
        </w:tc>
        <w:tc>
          <w:tcPr>
            <w:tcW w:type="dxa" w:w="18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100-120人產出</w:t>
            </w:r>
          </w:p>
          <w:p>
            <w:pPr>
              <w:spacing w:after="40" w:before="0"/>
              <w:jc w:val="left"/>
            </w:pPr>
            <w:r>
              <w:rPr>
                <w:rFonts w:ascii="Arial" w:cs="Arial" w:eastAsia="Arial" w:hAnsi="Arial"/>
                <w:i/>
                <w:iCs/>
                <w:color w:val="444444"/>
                <w:sz w:val="18"/>
                <w:szCs w:val="18"/>
              </w:rPr>
              <w:t xml:space="preserve">100-120 Output</w:t>
            </w:r>
          </w:p>
        </w:tc>
        <w:tc>
          <w:tcPr>
            <w:tcW w:type="dxa" w:w="14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1.5-2.0x</w:t>
            </w:r>
          </w:p>
          <w:p>
            <w:pPr>
              <w:spacing w:after="40" w:before="0"/>
              <w:jc w:val="left"/>
            </w:pPr>
            <w:r>
              <w:rPr>
                <w:rFonts w:ascii="Arial" w:cs="Arial" w:eastAsia="Arial" w:hAnsi="Arial"/>
                <w:i/>
                <w:iCs/>
                <w:color w:val="444444"/>
                <w:sz w:val="18"/>
                <w:szCs w:val="18"/>
              </w:rPr>
              <w:t xml:space="preserve">1.5-2.0倍</w:t>
            </w:r>
          </w:p>
        </w:tc>
        <w:tc>
          <w:tcPr>
            <w:tcW w:type="dxa" w:w="26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效率工具+RAG</w:t>
            </w:r>
          </w:p>
          <w:p>
            <w:pPr>
              <w:spacing w:after="40" w:before="0"/>
              <w:jc w:val="left"/>
            </w:pPr>
            <w:r>
              <w:rPr>
                <w:rFonts w:ascii="Arial" w:cs="Arial" w:eastAsia="Arial" w:hAnsi="Arial"/>
                <w:i/>
                <w:iCs/>
                <w:color w:val="444444"/>
                <w:sz w:val="18"/>
                <w:szCs w:val="18"/>
              </w:rPr>
              <w:t xml:space="preserve">Efficiency + RAG</w:t>
            </w:r>
          </w:p>
        </w:tc>
      </w:tr>
      <w:tr>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混合決策</w:t>
            </w:r>
          </w:p>
          <w:p>
            <w:pPr>
              <w:spacing w:after="40" w:before="0"/>
              <w:jc w:val="left"/>
            </w:pPr>
            <w:r>
              <w:rPr>
                <w:rFonts w:ascii="Arial" w:cs="Arial" w:eastAsia="Arial" w:hAnsi="Arial"/>
                <w:i/>
                <w:iCs/>
                <w:color w:val="444444"/>
                <w:sz w:val="18"/>
                <w:szCs w:val="18"/>
              </w:rPr>
              <w:t xml:space="preserve">Hybrid Decision</w:t>
            </w:r>
          </w:p>
        </w:tc>
        <w:tc>
          <w:tcPr>
            <w:tcW w:type="dxa" w:w="1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80-100人</w:t>
            </w:r>
          </w:p>
          <w:p>
            <w:pPr>
              <w:spacing w:after="40" w:before="0"/>
              <w:jc w:val="left"/>
            </w:pPr>
            <w:r>
              <w:rPr>
                <w:rFonts w:ascii="Arial" w:cs="Arial" w:eastAsia="Arial" w:hAnsi="Arial"/>
                <w:i/>
                <w:iCs/>
                <w:color w:val="444444"/>
                <w:sz w:val="18"/>
                <w:szCs w:val="18"/>
              </w:rPr>
              <w:t xml:space="preserve">80-100 FTE</w:t>
            </w:r>
          </w:p>
        </w:tc>
        <w:tc>
          <w:tcPr>
            <w:tcW w:type="dxa" w:w="18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200-250人產出</w:t>
            </w:r>
          </w:p>
          <w:p>
            <w:pPr>
              <w:spacing w:after="40" w:before="0"/>
              <w:jc w:val="left"/>
            </w:pPr>
            <w:r>
              <w:rPr>
                <w:rFonts w:ascii="Arial" w:cs="Arial" w:eastAsia="Arial" w:hAnsi="Arial"/>
                <w:i/>
                <w:iCs/>
                <w:color w:val="444444"/>
                <w:sz w:val="18"/>
                <w:szCs w:val="18"/>
              </w:rPr>
              <w:t xml:space="preserve">200-250 Output</w:t>
            </w:r>
          </w:p>
        </w:tc>
        <w:tc>
          <w:tcPr>
            <w:tcW w:type="dxa" w:w="14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3.0-4.0x</w:t>
            </w:r>
          </w:p>
          <w:p>
            <w:pPr>
              <w:spacing w:after="40" w:before="0"/>
              <w:jc w:val="left"/>
            </w:pPr>
            <w:r>
              <w:rPr>
                <w:rFonts w:ascii="Arial" w:cs="Arial" w:eastAsia="Arial" w:hAnsi="Arial"/>
                <w:i/>
                <w:iCs/>
                <w:color w:val="444444"/>
                <w:sz w:val="18"/>
                <w:szCs w:val="18"/>
              </w:rPr>
              <w:t xml:space="preserve">3-4倍</w:t>
            </w:r>
          </w:p>
        </w:tc>
        <w:tc>
          <w:tcPr>
            <w:tcW w:type="dxa" w:w="26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人機共生+平台化</w:t>
            </w:r>
          </w:p>
          <w:p>
            <w:pPr>
              <w:spacing w:after="40" w:before="0"/>
              <w:jc w:val="left"/>
            </w:pPr>
            <w:r>
              <w:rPr>
                <w:rFonts w:ascii="Arial" w:cs="Arial" w:eastAsia="Arial" w:hAnsi="Arial"/>
                <w:i/>
                <w:iCs/>
                <w:color w:val="444444"/>
                <w:sz w:val="18"/>
                <w:szCs w:val="18"/>
              </w:rPr>
              <w:t xml:space="preserve">Symbiosis + Platform</w:t>
            </w:r>
          </w:p>
        </w:tc>
      </w:tr>
    </w:tbl>
    <w:p>
      <w:pPr>
        <w:spacing w:after="0" w:before="100"/>
      </w:pPr>
    </w:p>
    <w:p>
      <w:pPr>
        <w:spacing w:after="60" w:before="120"/>
        <w:jc w:val="both"/>
      </w:pPr>
      <w:r>
        <w:rPr>
          <w:rFonts w:ascii="Microsoft YaHei" w:cs="Microsoft YaHei" w:eastAsia="Microsoft YaHei" w:hAnsi="Microsoft YaHei"/>
          <w:b w:val="false"/>
          <w:bCs w:val="false"/>
          <w:color w:val="000000"/>
          <w:sz w:val="24"/>
          <w:szCs w:val="24"/>
        </w:rPr>
        <w:t xml:space="preserve">產能倍增的邏輯來自三個層面的疊加效應：（1）重複性工作自動化釋放30-40%工時；（2）AI輔助決策將低技能員工表現提升至接近專家水平（+34%），等效於團隊整體能力升級；（3）平台化智能能力實現知識複用，邊際成本遞減。三者疊加，使80-100人的團隊能創造200-250人的等效產出。</w:t>
      </w:r>
    </w:p>
    <w:p>
      <w:pPr>
        <w:spacing w:after="180" w:before="0"/>
        <w:jc w:val="both"/>
      </w:pPr>
      <w:r>
        <w:rPr>
          <w:rFonts w:ascii="Arial" w:cs="Arial" w:eastAsia="Arial" w:hAnsi="Arial"/>
          <w:i/>
          <w:iCs/>
          <w:color w:val="444444"/>
          <w:sz w:val="22"/>
          <w:szCs w:val="22"/>
        </w:rPr>
        <w:t xml:space="preserve">The multiplication logic comes from three stacked effects: (1) Automating repetitive work frees 30-40% of work hours; (2) AI-assisted decisions elevate low-skill performance to near-expert (+34%), equivalent to team-wide capability upgrade; (3) Platform intelligence enables knowledge reuse with decreasing marginal costs. Combined, these enable 80-100 person teams to produce 200-250 person-equivalent output.</w:t>
      </w:r>
    </w:p>
    <w:p>
      <w:r>
        <w:br w:type="page"/>
      </w:r>
    </w:p>
    <w:p>
      <w:pPr>
        <w:pStyle w:val="Heading1"/>
        <w:spacing w:after="60" w:before="360"/>
      </w:pPr>
      <w:r>
        <w:rPr>
          <w:rFonts w:ascii="Microsoft YaHei" w:cs="Microsoft YaHei" w:eastAsia="Microsoft YaHei" w:hAnsi="Microsoft YaHei"/>
          <w:b/>
          <w:bCs/>
          <w:color w:val="000000"/>
          <w:sz w:val="36"/>
          <w:szCs w:val="36"/>
        </w:rPr>
        <w:t xml:space="preserve">第七章：未來展望與承諾</w:t>
      </w:r>
    </w:p>
    <w:p>
      <w:pPr>
        <w:spacing w:after="240" w:before="0"/>
        <w:ind w:left="0"/>
      </w:pPr>
      <w:r>
        <w:rPr>
          <w:rFonts w:ascii="Arial" w:cs="Arial" w:eastAsia="Arial" w:hAnsi="Arial"/>
          <w:i/>
          <w:iCs/>
          <w:color w:val="444444"/>
          <w:sz w:val="28"/>
          <w:szCs w:val="28"/>
        </w:rPr>
        <w:t xml:space="preserve">Chapter 7: Future Outlook and Commitment</w:t>
      </w:r>
    </w:p>
    <w:p>
      <w:pPr>
        <w:pBdr>
          <w:left w:val="single" w:color="8B0000" w:sz="6"/>
        </w:pBdr>
        <w:shd w:fill="F5F5F5" w:val="clear"/>
        <w:spacing w:after="40" w:before="200"/>
        <w:ind w:left="720" w:right="720"/>
      </w:pPr>
      <w:r>
        <w:rPr>
          <w:rFonts w:ascii="Microsoft YaHei" w:cs="Microsoft YaHei" w:eastAsia="Microsoft YaHei" w:hAnsi="Microsoft YaHei"/>
          <w:b/>
          <w:bCs/>
          <w:color w:val="000000"/>
          <w:sz w:val="22"/>
          <w:szCs w:val="22"/>
        </w:rPr>
        <w:t xml:space="preserve">核心觀點：HHAI不是技術終態，而是一個持續進化的組織狀態——大熊貓集團承諾持續投入，共建人機共生的未來。</w:t>
      </w:r>
    </w:p>
    <w:p>
      <w:pPr>
        <w:pBdr>
          <w:left w:val="single" w:color="8B0000" w:sz="6"/>
        </w:pBdr>
        <w:shd w:fill="F5F5F5" w:val="clear"/>
        <w:spacing w:after="240" w:before="0"/>
        <w:ind w:left="720" w:right="720"/>
      </w:pPr>
      <w:r>
        <w:rPr>
          <w:rFonts w:ascii="Arial" w:cs="Arial" w:eastAsia="Arial" w:hAnsi="Arial"/>
          <w:b/>
          <w:bCs/>
          <w:i/>
          <w:iCs/>
          <w:color w:val="444444"/>
          <w:sz w:val="20"/>
          <w:szCs w:val="20"/>
        </w:rPr>
        <w:t xml:space="preserve">Key Takeaway: HHAI is not a technological end-state but a continuously evolving organizational state — Panda Group commits to sustained investment in building a human-AI symbiotic future.</w:t>
      </w:r>
    </w:p>
    <w:p>
      <w:pPr>
        <w:pStyle w:val="Heading2"/>
        <w:spacing w:after="60" w:before="240"/>
      </w:pPr>
      <w:r>
        <w:rPr>
          <w:rFonts w:ascii="Microsoft YaHei" w:cs="Microsoft YaHei" w:eastAsia="Microsoft YaHei" w:hAnsi="Microsoft YaHei"/>
          <w:b/>
          <w:bCs/>
          <w:color w:val="000000"/>
          <w:sz w:val="30"/>
          <w:szCs w:val="30"/>
        </w:rPr>
        <w:t xml:space="preserve">7.1 HHAI的長期願景</w:t>
      </w:r>
    </w:p>
    <w:p>
      <w:pPr>
        <w:spacing w:after="180" w:before="0"/>
        <w:ind w:left="360"/>
      </w:pPr>
      <w:r>
        <w:rPr>
          <w:rFonts w:ascii="Arial" w:cs="Arial" w:eastAsia="Arial" w:hAnsi="Arial"/>
          <w:i/>
          <w:iCs/>
          <w:color w:val="444444"/>
          <w:sz w:val="24"/>
          <w:szCs w:val="24"/>
        </w:rPr>
        <w:t xml:space="preserve">7.1 Long-Term Vision for HHAI</w:t>
      </w:r>
    </w:p>
    <w:p>
      <w:pPr>
        <w:spacing w:after="60" w:before="120"/>
        <w:jc w:val="both"/>
      </w:pPr>
      <w:r>
        <w:rPr>
          <w:rFonts w:ascii="Microsoft YaHei" w:cs="Microsoft YaHei" w:eastAsia="Microsoft YaHei" w:hAnsi="Microsoft YaHei"/>
          <w:b w:val="false"/>
          <w:bCs w:val="false"/>
          <w:color w:val="000000"/>
          <w:sz w:val="24"/>
          <w:szCs w:val="24"/>
        </w:rPr>
        <w:t xml:space="preserve">HHAI的長期願景是建構「認知共生網絡」——在這個網絡中，每一位專業人員都與AI智能體形成互利共生關係，組織的集體智慧超越任何個體成員的能力總和。建築工程AI成熟度的四階段模型（被動→增強→自動→自主）顯示，當前領先企業已處於第二階段並正在大規模推廣。</w:t>
      </w:r>
    </w:p>
    <w:p>
      <w:pPr>
        <w:spacing w:after="180" w:before="0"/>
        <w:jc w:val="both"/>
      </w:pPr>
      <w:r>
        <w:rPr>
          <w:rFonts w:ascii="Arial" w:cs="Arial" w:eastAsia="Arial" w:hAnsi="Arial"/>
          <w:i/>
          <w:iCs/>
          <w:color w:val="444444"/>
          <w:sz w:val="22"/>
          <w:szCs w:val="22"/>
        </w:rPr>
        <w:t xml:space="preserve">HHAI's long-term vision is a 'cognitive symbiotic network' — where every professional forms mutualistic relationships with AI agents, and organizational collective intelligence surpasses the sum of individual capabilities. The AEC AI maturity model (Reactive → Augmented → Automated → Autonomous) shows leading firms are already in Stage 2 and scaling.</w:t>
      </w:r>
    </w:p>
    <w:p>
      <w:pPr>
        <w:spacing w:after="60" w:before="120"/>
        <w:jc w:val="both"/>
      </w:pPr>
      <w:r>
        <w:rPr>
          <w:rFonts w:ascii="Microsoft YaHei" w:cs="Microsoft YaHei" w:eastAsia="Microsoft YaHei" w:hAnsi="Microsoft YaHei"/>
          <w:b w:val="false"/>
          <w:bCs w:val="false"/>
          <w:color w:val="000000"/>
          <w:sz w:val="24"/>
          <w:szCs w:val="24"/>
        </w:rPr>
        <w:t xml:space="preserve">產生實際ROI的企業不是處於第4階段，而是處於第2階段並已大規模推廣。這揭示深遠啟示：人機共生不是遙遠的未來，而是今天就能實現——關鍵不在於追求最高等級的自治，而在於將AI深度嵌入工作流，讓正確的資訊在正確的時間到達正確的人手中。</w:t>
      </w:r>
    </w:p>
    <w:p>
      <w:pPr>
        <w:spacing w:after="180" w:before="0"/>
        <w:jc w:val="both"/>
      </w:pPr>
      <w:r>
        <w:rPr>
          <w:rFonts w:ascii="Arial" w:cs="Arial" w:eastAsia="Arial" w:hAnsi="Arial"/>
          <w:i/>
          <w:iCs/>
          <w:color w:val="444444"/>
          <w:sz w:val="22"/>
          <w:szCs w:val="22"/>
        </w:rPr>
        <w:t xml:space="preserve">Firms generating actual ROI are at Stage 2 with broad deployment, not Stage 4. This reveals a profound insight: human-AI symbiosis is achievable today — the key isn't pursuing highest autonomy but deeply embedding AI into workflows, ensuring the right information reaches the right person at the right time.</w:t>
      </w:r>
    </w:p>
    <w:p>
      <w:pPr>
        <w:spacing w:after="0" w:before="12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000"/>
        <w:gridCol w:w="2500"/>
        <w:gridCol w:w="4500"/>
      </w:tblGrid>
      <w:tr>
        <w:trPr>
          <w:tblHeader/>
        </w:trPr>
        <w:tc>
          <w:tcPr>
            <w:tcW w:type="dxa" w:w="20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時間維度 / Timeline</w:t>
            </w:r>
          </w:p>
        </w:tc>
        <w:tc>
          <w:tcPr>
            <w:tcW w:type="dxa" w:w="25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目標 / Goal</w:t>
            </w:r>
          </w:p>
        </w:tc>
        <w:tc>
          <w:tcPr>
            <w:tcW w:type="dxa" w:w="4500"/>
            <w:tcBorders>
              <w:top w:val="single" w:color="CCCCCC" w:sz="1"/>
              <w:left w:val="single" w:color="CCCCCC" w:sz="1"/>
              <w:bottom w:val="single" w:color="CCCCCC" w:sz="1"/>
              <w:right w:val="single" w:color="CCCCCC" w:sz="1"/>
            </w:tcBorders>
            <w:shd w:fill="2B2B2B" w:val="clear"/>
            <w:vAlign w:val="center"/>
          </w:tcPr>
          <w:p>
            <w:pPr>
              <w:spacing w:after="60" w:before="60"/>
              <w:jc w:val="center"/>
            </w:pPr>
            <w:r>
              <w:rPr>
                <w:rFonts w:ascii="Microsoft YaHei" w:cs="Microsoft YaHei" w:eastAsia="Microsoft YaHei" w:hAnsi="Microsoft YaHei"/>
                <w:b/>
                <w:bCs/>
                <w:color w:val="FFFFFF"/>
                <w:sz w:val="20"/>
                <w:szCs w:val="20"/>
              </w:rPr>
              <w:t xml:space="preserve">關鍵里程碑 / Milestones</w:t>
            </w:r>
          </w:p>
        </w:tc>
      </w:tr>
      <w:tr>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短期（1-2年）</w:t>
            </w:r>
          </w:p>
          <w:p>
            <w:pPr>
              <w:spacing w:after="40" w:before="0"/>
              <w:jc w:val="left"/>
            </w:pPr>
            <w:r>
              <w:rPr>
                <w:rFonts w:ascii="Arial" w:cs="Arial" w:eastAsia="Arial" w:hAnsi="Arial"/>
                <w:i/>
                <w:iCs/>
                <w:color w:val="444444"/>
                <w:sz w:val="18"/>
                <w:szCs w:val="18"/>
              </w:rPr>
              <w:t xml:space="preserve">Short-term (1-2 yrs)</w:t>
            </w:r>
          </w:p>
        </w:tc>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建立AI基礎能力</w:t>
            </w:r>
          </w:p>
          <w:p>
            <w:pPr>
              <w:spacing w:after="40" w:before="0"/>
              <w:jc w:val="left"/>
            </w:pPr>
            <w:r>
              <w:rPr>
                <w:rFonts w:ascii="Arial" w:cs="Arial" w:eastAsia="Arial" w:hAnsi="Arial"/>
                <w:i/>
                <w:iCs/>
                <w:color w:val="444444"/>
                <w:sz w:val="18"/>
                <w:szCs w:val="18"/>
              </w:rPr>
              <w:t xml:space="preserve">Build AI Foundation</w:t>
            </w:r>
          </w:p>
        </w:tc>
        <w:tc>
          <w:tcPr>
            <w:tcW w:type="dxa" w:w="4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RPA+RAG全面部署、AI輔助決策試點</w:t>
            </w:r>
          </w:p>
          <w:p>
            <w:pPr>
              <w:spacing w:after="40" w:before="0"/>
              <w:jc w:val="left"/>
            </w:pPr>
            <w:r>
              <w:rPr>
                <w:rFonts w:ascii="Arial" w:cs="Arial" w:eastAsia="Arial" w:hAnsi="Arial"/>
                <w:i/>
                <w:iCs/>
                <w:color w:val="444444"/>
                <w:sz w:val="18"/>
                <w:szCs w:val="18"/>
              </w:rPr>
              <w:t xml:space="preserve">Full RPA+RAG deployment, AI pilot</w:t>
            </w:r>
          </w:p>
        </w:tc>
      </w:tr>
      <w:tr>
        <w:tc>
          <w:tcPr>
            <w:tcW w:type="dxa" w:w="20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中期（3-5年）</w:t>
            </w:r>
          </w:p>
          <w:p>
            <w:pPr>
              <w:spacing w:after="40" w:before="0"/>
              <w:jc w:val="left"/>
            </w:pPr>
            <w:r>
              <w:rPr>
                <w:rFonts w:ascii="Arial" w:cs="Arial" w:eastAsia="Arial" w:hAnsi="Arial"/>
                <w:i/>
                <w:iCs/>
                <w:color w:val="444444"/>
                <w:sz w:val="18"/>
                <w:szCs w:val="18"/>
              </w:rPr>
              <w:t xml:space="preserve">Medium-term (3-5 yrs)</w:t>
            </w:r>
          </w:p>
        </w:tc>
        <w:tc>
          <w:tcPr>
            <w:tcW w:type="dxa" w:w="2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實現混合決策</w:t>
            </w:r>
          </w:p>
          <w:p>
            <w:pPr>
              <w:spacing w:after="40" w:before="0"/>
              <w:jc w:val="left"/>
            </w:pPr>
            <w:r>
              <w:rPr>
                <w:rFonts w:ascii="Arial" w:cs="Arial" w:eastAsia="Arial" w:hAnsi="Arial"/>
                <w:i/>
                <w:iCs/>
                <w:color w:val="444444"/>
                <w:sz w:val="18"/>
                <w:szCs w:val="18"/>
              </w:rPr>
              <w:t xml:space="preserve">Achieve Hybrid Decisions</w:t>
            </w:r>
          </w:p>
        </w:tc>
        <w:tc>
          <w:tcPr>
            <w:tcW w:type="dxa" w:w="4500"/>
            <w:tcBorders>
              <w:top w:val="single" w:color="CCCCCC" w:sz="1"/>
              <w:left w:val="single" w:color="CCCCCC" w:sz="1"/>
              <w:bottom w:val="single" w:color="CCCCCC" w:sz="1"/>
              <w:right w:val="single" w:color="CCCCCC" w:sz="1"/>
            </w:tcBorders>
            <w:shd w:fill="F9F9F9" w:val="clear"/>
            <w:vAlign w:val="center"/>
          </w:tcPr>
          <w:p>
            <w:pPr>
              <w:spacing w:after="20" w:before="40"/>
              <w:jc w:val="left"/>
            </w:pPr>
            <w:r>
              <w:rPr>
                <w:rFonts w:ascii="Microsoft YaHei" w:cs="Microsoft YaHei" w:eastAsia="Microsoft YaHei" w:hAnsi="Microsoft YaHei"/>
                <w:b w:val="false"/>
                <w:bCs w:val="false"/>
                <w:color w:val="000000"/>
                <w:sz w:val="20"/>
                <w:szCs w:val="20"/>
              </w:rPr>
              <w:t xml:space="preserve">五層框架全面落地、產能2x倍增</w:t>
            </w:r>
          </w:p>
          <w:p>
            <w:pPr>
              <w:spacing w:after="40" w:before="0"/>
              <w:jc w:val="left"/>
            </w:pPr>
            <w:r>
              <w:rPr>
                <w:rFonts w:ascii="Arial" w:cs="Arial" w:eastAsia="Arial" w:hAnsi="Arial"/>
                <w:i/>
                <w:iCs/>
                <w:color w:val="444444"/>
                <w:sz w:val="18"/>
                <w:szCs w:val="18"/>
              </w:rPr>
              <w:t xml:space="preserve">5-layer framework, 2x productivity</w:t>
            </w:r>
          </w:p>
        </w:tc>
      </w:tr>
      <w:tr>
        <w:tc>
          <w:tcPr>
            <w:tcW w:type="dxa" w:w="20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長期（5-10年）</w:t>
            </w:r>
          </w:p>
          <w:p>
            <w:pPr>
              <w:spacing w:after="40" w:before="0"/>
              <w:jc w:val="left"/>
            </w:pPr>
            <w:r>
              <w:rPr>
                <w:rFonts w:ascii="Arial" w:cs="Arial" w:eastAsia="Arial" w:hAnsi="Arial"/>
                <w:i/>
                <w:iCs/>
                <w:color w:val="444444"/>
                <w:sz w:val="18"/>
                <w:szCs w:val="18"/>
              </w:rPr>
              <w:t xml:space="preserve">Long-term (5-10 yrs)</w:t>
            </w:r>
          </w:p>
        </w:tc>
        <w:tc>
          <w:tcPr>
            <w:tcW w:type="dxa" w:w="2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認知共生網絡</w:t>
            </w:r>
          </w:p>
          <w:p>
            <w:pPr>
              <w:spacing w:after="40" w:before="0"/>
              <w:jc w:val="left"/>
            </w:pPr>
            <w:r>
              <w:rPr>
                <w:rFonts w:ascii="Arial" w:cs="Arial" w:eastAsia="Arial" w:hAnsi="Arial"/>
                <w:i/>
                <w:iCs/>
                <w:color w:val="444444"/>
                <w:sz w:val="18"/>
                <w:szCs w:val="18"/>
              </w:rPr>
              <w:t xml:space="preserve">Cognitive Symbiotic Network</w:t>
            </w:r>
          </w:p>
        </w:tc>
        <w:tc>
          <w:tcPr>
            <w:tcW w:type="dxa" w:w="4500"/>
            <w:tcBorders>
              <w:top w:val="single" w:color="CCCCCC" w:sz="1"/>
              <w:left w:val="single" w:color="CCCCCC" w:sz="1"/>
              <w:bottom w:val="single" w:color="CCCCCC" w:sz="1"/>
              <w:right w:val="single" w:color="CCCCCC" w:sz="1"/>
            </w:tcBorders>
            <w:vAlign w:val="center"/>
          </w:tcPr>
          <w:p>
            <w:pPr>
              <w:spacing w:after="20" w:before="40"/>
              <w:jc w:val="left"/>
            </w:pPr>
            <w:r>
              <w:rPr>
                <w:rFonts w:ascii="Microsoft YaHei" w:cs="Microsoft YaHei" w:eastAsia="Microsoft YaHei" w:hAnsi="Microsoft YaHei"/>
                <w:b w:val="false"/>
                <w:bCs w:val="false"/>
                <w:color w:val="000000"/>
                <w:sz w:val="20"/>
                <w:szCs w:val="20"/>
              </w:rPr>
              <w:t xml:space="preserve">平台化智能、4x產能倍增</w:t>
            </w:r>
          </w:p>
          <w:p>
            <w:pPr>
              <w:spacing w:after="40" w:before="0"/>
              <w:jc w:val="left"/>
            </w:pPr>
            <w:r>
              <w:rPr>
                <w:rFonts w:ascii="Arial" w:cs="Arial" w:eastAsia="Arial" w:hAnsi="Arial"/>
                <w:i/>
                <w:iCs/>
                <w:color w:val="444444"/>
                <w:sz w:val="18"/>
                <w:szCs w:val="18"/>
              </w:rPr>
              <w:t xml:space="preserve">Platform intelligence, 4x output</w:t>
            </w:r>
          </w:p>
        </w:tc>
      </w:tr>
    </w:tbl>
    <w:p>
      <w:pPr>
        <w:spacing w:after="0" w:before="100"/>
      </w:pPr>
    </w:p>
    <w:p>
      <w:pPr>
        <w:pStyle w:val="Heading2"/>
        <w:spacing w:after="60" w:before="240"/>
      </w:pPr>
      <w:r>
        <w:rPr>
          <w:rFonts w:ascii="Microsoft YaHei" w:cs="Microsoft YaHei" w:eastAsia="Microsoft YaHei" w:hAnsi="Microsoft YaHei"/>
          <w:b/>
          <w:bCs/>
          <w:color w:val="000000"/>
          <w:sz w:val="30"/>
          <w:szCs w:val="30"/>
        </w:rPr>
        <w:t xml:space="preserve">7.2 大熊貓集團的承諾</w:t>
      </w:r>
    </w:p>
    <w:p>
      <w:pPr>
        <w:spacing w:after="180" w:before="0"/>
        <w:ind w:left="360"/>
      </w:pPr>
      <w:r>
        <w:rPr>
          <w:rFonts w:ascii="Arial" w:cs="Arial" w:eastAsia="Arial" w:hAnsi="Arial"/>
          <w:i/>
          <w:iCs/>
          <w:color w:val="444444"/>
          <w:sz w:val="24"/>
          <w:szCs w:val="24"/>
        </w:rPr>
        <w:t xml:space="preserve">7.2 Panda Group's Commitment</w:t>
      </w:r>
    </w:p>
    <w:p>
      <w:pPr>
        <w:spacing w:after="60" w:before="120"/>
        <w:jc w:val="both"/>
      </w:pPr>
      <w:r>
        <w:rPr>
          <w:rFonts w:ascii="Microsoft YaHei" w:cs="Microsoft YaHei" w:eastAsia="Microsoft YaHei" w:hAnsi="Microsoft YaHei"/>
          <w:b w:val="false"/>
          <w:bCs w:val="false"/>
          <w:color w:val="000000"/>
          <w:sz w:val="24"/>
          <w:szCs w:val="24"/>
        </w:rPr>
        <w:t xml:space="preserve">大熊貓集團對HHAI的承諾不僅是技術投資，更是組織變革。我們承諾在三個維度持續投入：（1）人才——培養兼具領域專業知識和AI協作能力的複合型人才；（2）數據——系統性積累和治理項目數據資產，構建不可替代的數據護城河；（3）文化——建立「人機共生」的組織文化，鼓勵每一位專業人員將AI視為認知合夥人而非威脅。</w:t>
      </w:r>
    </w:p>
    <w:p>
      <w:pPr>
        <w:spacing w:after="180" w:before="0"/>
        <w:jc w:val="both"/>
      </w:pPr>
      <w:r>
        <w:rPr>
          <w:rFonts w:ascii="Arial" w:cs="Arial" w:eastAsia="Arial" w:hAnsi="Arial"/>
          <w:i/>
          <w:iCs/>
          <w:color w:val="444444"/>
          <w:sz w:val="22"/>
          <w:szCs w:val="22"/>
        </w:rPr>
        <w:t xml:space="preserve">Panda Group's HHAI commitment extends beyond technology investment to organizational transformation. We commit to sustained investment in three dimensions: (1) Talent — developing professionals with both domain expertise and AI collaboration capability; (2) Data — systematically accumulating and governing project data assets, building irreplaceable data moats; (3) Culture — establishing a 'human-AI symbiotic' culture, encouraging every professional to view AI as a cognitive partner, not a threat.</w:t>
      </w:r>
    </w:p>
    <w:p>
      <w:pPr>
        <w:spacing w:after="60" w:before="120"/>
        <w:jc w:val="both"/>
      </w:pPr>
      <w:r>
        <w:rPr>
          <w:rFonts w:ascii="Microsoft YaHei" w:cs="Microsoft YaHei" w:eastAsia="Microsoft YaHei" w:hAnsi="Microsoft YaHei"/>
          <w:b w:val="false"/>
          <w:bCs w:val="false"/>
          <w:color w:val="000000"/>
          <w:sz w:val="24"/>
          <w:szCs w:val="24"/>
        </w:rPr>
        <w:t xml:space="preserve">我們深知，從「滿意化」到「近似最優化」的旅程不會一蹴而就。每1美元模型開發需要3美元變更管理——我們對此有清醒認知和充分預算準備。更重要的是，我們理解人機共生的關鍵不是讓AI做得更多，而是確保人類的System 2維持在「認知卸載」而非「認知投降」狀態——人類的批判性思考和最終決策權，是HHAI不可妥協的底線。</w:t>
      </w:r>
    </w:p>
    <w:p>
      <w:pPr>
        <w:spacing w:after="180" w:before="0"/>
        <w:jc w:val="both"/>
      </w:pPr>
      <w:r>
        <w:rPr>
          <w:rFonts w:ascii="Arial" w:cs="Arial" w:eastAsia="Arial" w:hAnsi="Arial"/>
          <w:i/>
          <w:iCs/>
          <w:color w:val="444444"/>
          <w:sz w:val="22"/>
          <w:szCs w:val="22"/>
        </w:rPr>
        <w:t xml:space="preserve">We recognize that the journey from 'satisficing' to 'near-optimization' won't happen overnight. Every USD 1 for model development requires USD 3 for change management — we approach this with clear awareness and adequate budgeting. More importantly, we understand the key to symbiosis isn't making AI do more, but ensuring human System 2 maintains 'cognitive offloading' rather than 'cognitive surrender' — human critical thinking and final decision authority are HHAI's non-negotiable bottom line.</w:t>
      </w:r>
    </w:p>
    <w:p>
      <w:r>
        <w:br w:type="page"/>
      </w:r>
    </w:p>
    <w:p>
      <w:pPr>
        <w:pStyle w:val="Heading1"/>
        <w:spacing w:after="60" w:before="360"/>
      </w:pPr>
      <w:r>
        <w:rPr>
          <w:rFonts w:ascii="Microsoft YaHei" w:cs="Microsoft YaHei" w:eastAsia="Microsoft YaHei" w:hAnsi="Microsoft YaHei"/>
          <w:b/>
          <w:bCs/>
          <w:color w:val="000000"/>
          <w:sz w:val="36"/>
          <w:szCs w:val="36"/>
        </w:rPr>
        <w:t xml:space="preserve">結語</w:t>
      </w:r>
    </w:p>
    <w:p>
      <w:pPr>
        <w:spacing w:after="240" w:before="0"/>
        <w:ind w:left="0"/>
      </w:pPr>
      <w:r>
        <w:rPr>
          <w:rFonts w:ascii="Arial" w:cs="Arial" w:eastAsia="Arial" w:hAnsi="Arial"/>
          <w:i/>
          <w:iCs/>
          <w:color w:val="444444"/>
          <w:sz w:val="28"/>
          <w:szCs w:val="28"/>
        </w:rPr>
        <w:t xml:space="preserve">Conclusion</w:t>
      </w:r>
    </w:p>
    <w:p>
      <w:pPr>
        <w:spacing w:after="60" w:before="120"/>
        <w:jc w:val="both"/>
      </w:pPr>
      <w:r>
        <w:rPr>
          <w:rFonts w:ascii="Microsoft YaHei" w:cs="Microsoft YaHei" w:eastAsia="Microsoft YaHei" w:hAnsi="Microsoft YaHei"/>
          <w:b w:val="false"/>
          <w:bCs w:val="false"/>
          <w:color w:val="000000"/>
          <w:sz w:val="24"/>
          <w:szCs w:val="24"/>
        </w:rPr>
        <w:t xml:space="preserve">HHAI不是一個技術方案，而是一種管理哲學的革命。它源於對三個基本事實的認知：（1）人類認知存在固有的生理限制（Simon的有限理性）；（2）AI已成為獨立的第三認知系統（Shaw &amp; Nave的三系統理論）；（3）組織能力而非技術能力是AI價值實現的關鍵瓶頸（McKinsey的6%高績效者發現）。</w:t>
      </w:r>
    </w:p>
    <w:p>
      <w:pPr>
        <w:spacing w:after="180" w:before="0"/>
        <w:jc w:val="both"/>
      </w:pPr>
      <w:r>
        <w:rPr>
          <w:rFonts w:ascii="Arial" w:cs="Arial" w:eastAsia="Arial" w:hAnsi="Arial"/>
          <w:i/>
          <w:iCs/>
          <w:color w:val="444444"/>
          <w:sz w:val="22"/>
          <w:szCs w:val="22"/>
        </w:rPr>
        <w:t xml:space="preserve">HHAI is not a technology solution but a revolution in management philosophy. It stems from recognizing three fundamental facts: (1) Human cognition has inherent physiological limits (Simon's bounded rationality); (2) AI has become an independent third cognitive system (Shaw &amp; Nave's Tri-System Theory); (3) Organizational capability, not technological capability, is the key bottleneck for AI value realization (McKinsey's 6% high-performer finding).</w:t>
      </w:r>
    </w:p>
    <w:p>
      <w:pPr>
        <w:spacing w:after="60" w:before="120"/>
        <w:jc w:val="both"/>
      </w:pPr>
      <w:r>
        <w:rPr>
          <w:rFonts w:ascii="Microsoft YaHei" w:cs="Microsoft YaHei" w:eastAsia="Microsoft YaHei" w:hAnsi="Microsoft YaHei"/>
          <w:b w:val="false"/>
          <w:bCs w:val="false"/>
          <w:color w:val="000000"/>
          <w:sz w:val="24"/>
          <w:szCs w:val="24"/>
        </w:rPr>
        <w:t xml:space="preserve">在這個認知共生的時代，大熊貓集團選擇了一條不同的道路——不是購買現成的SaaS工具，而是自建核心能力；不是追求AI完全自治，而是追求人機深度協作；不是將AI視為效率工具，而是將HHAI視為管理方法論的根本革新。這條路更難走，但我們相信，只有這樣才能建立真正持久的競爭優勢。</w:t>
      </w:r>
    </w:p>
    <w:p>
      <w:pPr>
        <w:spacing w:after="180" w:before="0"/>
        <w:jc w:val="both"/>
      </w:pPr>
      <w:r>
        <w:rPr>
          <w:rFonts w:ascii="Arial" w:cs="Arial" w:eastAsia="Arial" w:hAnsi="Arial"/>
          <w:i/>
          <w:iCs/>
          <w:color w:val="444444"/>
          <w:sz w:val="22"/>
          <w:szCs w:val="22"/>
        </w:rPr>
        <w:t xml:space="preserve">In this age of cognitive symbiosis, Panda Group has chosen a different path — not buying off-the-shelf SaaS tools but building core capabilities; not pursuing full AI autonomy but deep human-AI collaboration; not treating AI as an efficiency tool but regarding HHAI as fundamental management methodology innovation. This path is harder, but we believe only this way can we build truly sustainable competitive advantage.</w:t>
      </w:r>
    </w:p>
    <w:p>
      <w:pPr>
        <w:spacing w:after="60" w:before="120"/>
        <w:jc w:val="both"/>
      </w:pPr>
      <w:r>
        <w:rPr>
          <w:rFonts w:ascii="Microsoft YaHei" w:cs="Microsoft YaHei" w:eastAsia="Microsoft YaHei" w:hAnsi="Microsoft YaHei"/>
          <w:b w:val="false"/>
          <w:bCs w:val="false"/>
          <w:color w:val="000000"/>
          <w:sz w:val="24"/>
          <w:szCs w:val="24"/>
        </w:rPr>
        <w:t xml:space="preserve">正如菌根網絡中的真菌與植物，在數億年的共同進化中創造了地球上的綠色文明——我們相信，人類與AI的認知共生，將創造專業服務領域的新文明。這不僅是大熊貓集團的戰略選擇，更是我們對行業未來的鄭重承諾。</w:t>
      </w:r>
    </w:p>
    <w:p>
      <w:pPr>
        <w:spacing w:after="180" w:before="0"/>
        <w:jc w:val="both"/>
      </w:pPr>
      <w:r>
        <w:rPr>
          <w:rFonts w:ascii="Arial" w:cs="Arial" w:eastAsia="Arial" w:hAnsi="Arial"/>
          <w:i/>
          <w:iCs/>
          <w:color w:val="444444"/>
          <w:sz w:val="22"/>
          <w:szCs w:val="22"/>
        </w:rPr>
        <w:t xml:space="preserve">Just as fungi and plants in mycorrhizal networks, through hundreds of millions of years of co-evolution, created Earth's green civilization — we believe human-AI cognitive symbiosis will create a new civilization in professional services. This is not only Panda Group's strategic choice but our solemn commitment to the industry's future.</w:t>
      </w:r>
    </w:p>
    <w:p>
      <w:r>
        <w:br w:type="page"/>
      </w:r>
    </w:p>
    <w:p>
      <w:pPr>
        <w:pStyle w:val="Heading1"/>
        <w:spacing w:after="60" w:before="360"/>
      </w:pPr>
      <w:r>
        <w:rPr>
          <w:rFonts w:ascii="Microsoft YaHei" w:cs="Microsoft YaHei" w:eastAsia="Microsoft YaHei" w:hAnsi="Microsoft YaHei"/>
          <w:b/>
          <w:bCs/>
          <w:color w:val="000000"/>
          <w:sz w:val="36"/>
          <w:szCs w:val="36"/>
        </w:rPr>
        <w:t xml:space="preserve">參考文獻</w:t>
      </w:r>
    </w:p>
    <w:p>
      <w:pPr>
        <w:spacing w:after="240" w:before="0"/>
        <w:ind w:left="0"/>
      </w:pPr>
      <w:r>
        <w:rPr>
          <w:rFonts w:ascii="Arial" w:cs="Arial" w:eastAsia="Arial" w:hAnsi="Arial"/>
          <w:i/>
          <w:iCs/>
          <w:color w:val="444444"/>
          <w:sz w:val="28"/>
          <w:szCs w:val="28"/>
        </w:rPr>
        <w:t xml:space="preserve">References</w:t>
      </w:r>
    </w:p>
    <w:p>
      <w:pPr>
        <w:spacing w:after="30" w:before="120"/>
      </w:pPr>
      <w:r>
        <w:rPr>
          <w:rFonts w:ascii="Arial" w:cs="Arial" w:eastAsia="Arial" w:hAnsi="Arial"/>
          <w:color w:val="000000"/>
          <w:sz w:val="19"/>
          <w:szCs w:val="19"/>
        </w:rPr>
        <w:t xml:space="preserve">Brynjolfsson, E., Hitt, L. M., &amp; Kim, H. H. (2011). Strength in Numbers: How Does Data-Driven Decisionmaking Affect Firm Performance? SSRN Electronic Journal. DOI: 10.2139/ssrn.1819486</w:t>
      </w:r>
    </w:p>
    <w:p>
      <w:pPr>
        <w:spacing w:after="30" w:before="120"/>
      </w:pPr>
      <w:r>
        <w:rPr>
          <w:rFonts w:ascii="Arial" w:cs="Arial" w:eastAsia="Arial" w:hAnsi="Arial"/>
          <w:color w:val="000000"/>
          <w:sz w:val="19"/>
          <w:szCs w:val="19"/>
        </w:rPr>
        <w:t xml:space="preserve">Brynjolfsson, E., et al. (2023). Navigating the Jagged Technological Frontier. Harvard Business School Working Paper.</w:t>
      </w:r>
    </w:p>
    <w:p>
      <w:pPr>
        <w:spacing w:after="30" w:before="120"/>
      </w:pPr>
      <w:r>
        <w:rPr>
          <w:rFonts w:ascii="Arial" w:cs="Arial" w:eastAsia="Arial" w:hAnsi="Arial"/>
          <w:color w:val="000000"/>
          <w:sz w:val="19"/>
          <w:szCs w:val="19"/>
        </w:rPr>
        <w:t xml:space="preserve">Shaw, S. D. &amp; Nave, G. (2026). Thinking — Fast, Slow, and Artificial: How AI is Reshaping Human Reasoning. Wharton School Research Paper.</w:t>
      </w:r>
    </w:p>
    <w:p>
      <w:pPr>
        <w:spacing w:after="30" w:before="120"/>
      </w:pPr>
      <w:r>
        <w:rPr>
          <w:rFonts w:ascii="Arial" w:cs="Arial" w:eastAsia="Arial" w:hAnsi="Arial"/>
          <w:color w:val="000000"/>
          <w:sz w:val="19"/>
          <w:szCs w:val="19"/>
        </w:rPr>
        <w:t xml:space="preserve">Kahneman, D. (2011). Thinking, Fast and Slow. Farrar, Straus and Giroux.</w:t>
      </w:r>
    </w:p>
    <w:p>
      <w:pPr>
        <w:spacing w:after="30" w:before="120"/>
      </w:pPr>
      <w:r>
        <w:rPr>
          <w:rFonts w:ascii="Arial" w:cs="Arial" w:eastAsia="Arial" w:hAnsi="Arial"/>
          <w:color w:val="000000"/>
          <w:sz w:val="19"/>
          <w:szCs w:val="19"/>
        </w:rPr>
        <w:t xml:space="preserve">Simon, H. A. (1960). The New Science of Management Decision. Harper &amp; Brothers.</w:t>
      </w:r>
    </w:p>
    <w:p>
      <w:pPr>
        <w:spacing w:after="30" w:before="120"/>
      </w:pPr>
      <w:r>
        <w:rPr>
          <w:rFonts w:ascii="Arial" w:cs="Arial" w:eastAsia="Arial" w:hAnsi="Arial"/>
          <w:color w:val="000000"/>
          <w:sz w:val="19"/>
          <w:szCs w:val="19"/>
        </w:rPr>
        <w:t xml:space="preserve">McKinsey (2024). The Economic Potential of Generative AI and Analytics.</w:t>
      </w:r>
    </w:p>
    <w:p>
      <w:pPr>
        <w:spacing w:after="30" w:before="120"/>
      </w:pPr>
      <w:r>
        <w:rPr>
          <w:rFonts w:ascii="Arial" w:cs="Arial" w:eastAsia="Arial" w:hAnsi="Arial"/>
          <w:color w:val="000000"/>
          <w:sz w:val="19"/>
          <w:szCs w:val="19"/>
        </w:rPr>
        <w:t xml:space="preserve">McKinsey (2025). The State of AI in 2025.</w:t>
      </w:r>
    </w:p>
    <w:p>
      <w:pPr>
        <w:spacing w:after="30" w:before="120"/>
      </w:pPr>
      <w:r>
        <w:rPr>
          <w:rFonts w:ascii="Arial" w:cs="Arial" w:eastAsia="Arial" w:hAnsi="Arial"/>
          <w:color w:val="000000"/>
          <w:sz w:val="19"/>
          <w:szCs w:val="19"/>
        </w:rPr>
        <w:t xml:space="preserve">McKinsey (2025). Upgrading Software Business Models to Thrive in the AI Era.</w:t>
      </w:r>
    </w:p>
    <w:p>
      <w:pPr>
        <w:spacing w:after="30" w:before="120"/>
      </w:pPr>
      <w:r>
        <w:rPr>
          <w:rFonts w:ascii="Arial" w:cs="Arial" w:eastAsia="Arial" w:hAnsi="Arial"/>
          <w:color w:val="000000"/>
          <w:sz w:val="19"/>
          <w:szCs w:val="19"/>
        </w:rPr>
        <w:t xml:space="preserve">Deloitte (2024). Global Outsourcing Survey 2024: Multidimensional Sourcing.</w:t>
      </w:r>
    </w:p>
    <w:p>
      <w:pPr>
        <w:spacing w:after="30" w:before="120"/>
      </w:pPr>
      <w:r>
        <w:rPr>
          <w:rFonts w:ascii="Arial" w:cs="Arial" w:eastAsia="Arial" w:hAnsi="Arial"/>
          <w:color w:val="000000"/>
          <w:sz w:val="19"/>
          <w:szCs w:val="19"/>
        </w:rPr>
        <w:t xml:space="preserve">CB Insights (2025). The Future of Professional Services in the AI Agent Era.</w:t>
      </w:r>
    </w:p>
    <w:p>
      <w:pPr>
        <w:spacing w:after="30" w:before="120"/>
      </w:pPr>
      <w:r>
        <w:rPr>
          <w:rFonts w:ascii="Arial" w:cs="Arial" w:eastAsia="Arial" w:hAnsi="Arial"/>
          <w:color w:val="000000"/>
          <w:sz w:val="19"/>
          <w:szCs w:val="19"/>
        </w:rPr>
        <w:t xml:space="preserve">SAE International (2021). ISO/SAE PAS 22736:2021 — Taxonomy and Definitions for Terms Related to Driving Automation Systems.</w:t>
      </w:r>
    </w:p>
    <w:p>
      <w:pPr>
        <w:spacing w:after="30" w:before="120"/>
      </w:pPr>
      <w:r>
        <w:rPr>
          <w:rFonts w:ascii="Arial" w:cs="Arial" w:eastAsia="Arial" w:hAnsi="Arial"/>
          <w:color w:val="000000"/>
          <w:sz w:val="19"/>
          <w:szCs w:val="19"/>
        </w:rPr>
        <w:t xml:space="preserve">Bluebeam (2026). AEC Technology Outlook 2026.</w:t>
      </w:r>
    </w:p>
    <w:p>
      <w:pPr>
        <w:spacing w:after="30" w:before="120"/>
      </w:pPr>
      <w:r>
        <w:rPr>
          <w:rFonts w:ascii="Arial" w:cs="Arial" w:eastAsia="Arial" w:hAnsi="Arial"/>
          <w:color w:val="000000"/>
          <w:sz w:val="19"/>
          <w:szCs w:val="19"/>
        </w:rPr>
        <w:t xml:space="preserve">Plexapro. AI in Construction: The Four Stages of AI Maturity.</w:t>
      </w:r>
    </w:p>
    <w:p>
      <w:pPr>
        <w:spacing w:after="30" w:before="120"/>
      </w:pPr>
      <w:r>
        <w:rPr>
          <w:rFonts w:ascii="Arial" w:cs="Arial" w:eastAsia="Arial" w:hAnsi="Arial"/>
          <w:color w:val="000000"/>
          <w:sz w:val="19"/>
          <w:szCs w:val="19"/>
        </w:rPr>
        <w:t xml:space="preserve">ALICE Technologies. Generative Scheduling: Construction Applications and McKinsey Partnership.</w:t>
      </w:r>
    </w:p>
    <w:p>
      <w:pPr>
        <w:spacing w:after="0" w:before="400"/>
      </w:pPr>
    </w:p>
    <w:p>
      <w:pPr>
        <w:pBdr>
          <w:top w:val="single" w:color="8B0000" w:sz="2" w:space="20"/>
        </w:pBdr>
        <w:spacing w:before="400"/>
        <w:jc w:val="center"/>
      </w:pPr>
    </w:p>
    <w:p>
      <w:pPr>
        <w:spacing w:after="100" w:before="200"/>
        <w:jc w:val="center"/>
      </w:pPr>
      <w:r>
        <w:rPr>
          <w:rFonts w:ascii="Microsoft YaHei" w:cs="Microsoft YaHei" w:eastAsia="Microsoft YaHei" w:hAnsi="Microsoft YaHei"/>
          <w:color w:val="888888"/>
          <w:sz w:val="20"/>
          <w:szCs w:val="20"/>
        </w:rPr>
        <w:t xml:space="preserve">— 本白皮書由大熊貓集團 HHAI Program 發布 —</w:t>
      </w:r>
    </w:p>
    <w:p>
      <w:pPr>
        <w:spacing w:after="100"/>
        <w:jc w:val="center"/>
      </w:pPr>
      <w:r>
        <w:rPr>
          <w:rFonts w:ascii="Arial" w:cs="Arial" w:eastAsia="Arial" w:hAnsi="Arial"/>
          <w:i/>
          <w:iCs/>
          <w:color w:val="888888"/>
          <w:sz w:val="18"/>
          <w:szCs w:val="18"/>
        </w:rPr>
        <w:t xml:space="preserve">— Published by Panda Group HHAI Program —</w:t>
      </w:r>
    </w:p>
    <w:p>
      <w:pPr>
        <w:spacing w:before="60"/>
        <w:jc w:val="center"/>
      </w:pPr>
      <w:r>
        <w:rPr>
          <w:rFonts w:ascii="Arial" w:cs="Arial" w:eastAsia="Arial" w:hAnsi="Arial"/>
          <w:color w:val="AAAAAA"/>
          <w:sz w:val="16"/>
          <w:szCs w:val="16"/>
        </w:rPr>
        <w:t xml:space="preserve">© 2026 Panda Group. All rights reserved.</w:t>
      </w:r>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99999"/>
        <w:sz w:val="16"/>
        <w:szCs w:val="16"/>
      </w:rPr>
      <w:t xml:space="preserve">大熊貓集團 · HHAI Program | Panda Group · HHAI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99999"/>
        <w:sz w:val="16"/>
        <w:szCs w:val="16"/>
      </w:rPr>
      <w:t xml:space="preserve">Panda Group · HHAI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Microsoft YaHei" w:cs="Microsoft YaHei" w:eastAsia="Microsoft YaHei" w:hAnsi="Microsoft YaHei"/>
      <w:b/>
      <w:bCs/>
      <w:color w:val="000000"/>
      <w:sz w:val="36"/>
      <w:szCs w:val="36"/>
    </w:rPr>
  </w:style>
  <w:style w:type="paragraph" w:styleId="Heading2">
    <w:name w:val="Heading 2"/>
    <w:basedOn w:val="Normal"/>
    <w:next w:val="Normal"/>
    <w:qFormat/>
    <w:pPr>
      <w:spacing w:after="120" w:before="240"/>
      <w:outlineLvl w:val="1"/>
    </w:pPr>
    <w:rPr>
      <w:rFonts w:ascii="Microsoft YaHei" w:cs="Microsoft YaHei" w:eastAsia="Microsoft YaHei" w:hAnsi="Microsoft YaHei"/>
      <w:b/>
      <w:bCs/>
      <w:color w:val="000000"/>
      <w:sz w:val="30"/>
      <w:szCs w:val="30"/>
    </w:rPr>
  </w:style>
  <w:style w:type="paragraph" w:styleId="Heading3">
    <w:name w:val="Heading 3"/>
    <w:basedOn w:val="Normal"/>
    <w:next w:val="Normal"/>
    <w:qFormat/>
    <w:pPr>
      <w:spacing w:after="100" w:before="200"/>
      <w:outlineLvl w:val="2"/>
    </w:pPr>
    <w:rPr>
      <w:rFonts w:ascii="Microsoft YaHei" w:cs="Microsoft YaHei" w:eastAsia="Microsoft YaHei" w:hAnsi="Microsoft YaHei"/>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2026-08-17T07:25:46.626Z</dcterms:created>
  <dcterms:modified xsi:type="dcterms:W3CDTF">2026-08-17T07:25:46.627Z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1290165085023881_0-drive/214950303890384750/GPG_HHAI_白皮書_v3_中英對照版.docx","ReservedCode1":"","ContentPropagator":"001191110102MACQD9K64028705","PropagateID":"1290165085023881#1786953310440","ReservedCode2":""}</vt:lpwstr>
  </property>
</Properties>
</file>